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6634B5" w:rsidR="00F64B12" w:rsidP="52191EA1" w:rsidRDefault="79490489" w14:paraId="40F7A602" w14:textId="6908E1F5">
      <w:pPr>
        <w:jc w:val="center"/>
        <w:rPr>
          <w:b/>
          <w:sz w:val="28"/>
          <w:szCs w:val="28"/>
        </w:rPr>
      </w:pPr>
      <w:r w:rsidRPr="52191EA1">
        <w:rPr>
          <w:b/>
          <w:bCs/>
          <w:sz w:val="28"/>
          <w:szCs w:val="28"/>
        </w:rPr>
        <w:t>Investīciju piesaistes d</w:t>
      </w:r>
      <w:r w:rsidRPr="52191EA1" w:rsidR="6E0235F5">
        <w:rPr>
          <w:b/>
          <w:bCs/>
          <w:sz w:val="28"/>
          <w:szCs w:val="28"/>
        </w:rPr>
        <w:t xml:space="preserve">elegācijas uz </w:t>
      </w:r>
      <w:r w:rsidRPr="52191EA1" w:rsidR="11DC817A">
        <w:rPr>
          <w:b/>
          <w:bCs/>
          <w:i/>
          <w:iCs/>
          <w:sz w:val="28"/>
          <w:szCs w:val="28"/>
        </w:rPr>
        <w:t xml:space="preserve">Hello </w:t>
      </w:r>
      <w:r w:rsidRPr="52191EA1" w:rsidR="5DA4C4FF">
        <w:rPr>
          <w:b/>
          <w:bCs/>
          <w:i/>
          <w:iCs/>
          <w:sz w:val="28"/>
          <w:szCs w:val="28"/>
        </w:rPr>
        <w:t>T</w:t>
      </w:r>
      <w:r w:rsidRPr="52191EA1" w:rsidR="11DC817A">
        <w:rPr>
          <w:b/>
          <w:bCs/>
          <w:i/>
          <w:iCs/>
          <w:sz w:val="28"/>
          <w:szCs w:val="28"/>
        </w:rPr>
        <w:t>omorrow 2026</w:t>
      </w:r>
      <w:r w:rsidRPr="52191EA1" w:rsidR="577CFBED">
        <w:rPr>
          <w:b/>
          <w:bCs/>
          <w:sz w:val="28"/>
          <w:szCs w:val="28"/>
        </w:rPr>
        <w:t xml:space="preserve"> </w:t>
      </w:r>
      <w:r w:rsidRPr="52191EA1" w:rsidR="7756E5BA">
        <w:rPr>
          <w:b/>
          <w:bCs/>
          <w:sz w:val="28"/>
          <w:szCs w:val="28"/>
        </w:rPr>
        <w:t>konferenci</w:t>
      </w:r>
      <w:r w:rsidRPr="52191EA1" w:rsidR="577CFBED">
        <w:rPr>
          <w:b/>
          <w:bCs/>
          <w:sz w:val="28"/>
          <w:szCs w:val="28"/>
        </w:rPr>
        <w:t xml:space="preserve"> atlases </w:t>
      </w:r>
      <w:r w:rsidRPr="52191EA1" w:rsidR="00D43710">
        <w:rPr>
          <w:b/>
          <w:bCs/>
          <w:sz w:val="28"/>
          <w:szCs w:val="28"/>
        </w:rPr>
        <w:t xml:space="preserve">kārtība un </w:t>
      </w:r>
      <w:r w:rsidRPr="52191EA1" w:rsidR="577CFBED">
        <w:rPr>
          <w:b/>
          <w:bCs/>
          <w:sz w:val="28"/>
          <w:szCs w:val="28"/>
        </w:rPr>
        <w:t>kritēriji</w:t>
      </w:r>
    </w:p>
    <w:p w:rsidR="295F294E" w:rsidP="52191EA1" w:rsidRDefault="295F294E" w14:paraId="6BD8685C" w14:textId="77777777">
      <w:pPr>
        <w:rPr>
          <w:b/>
          <w:bCs/>
        </w:rPr>
      </w:pPr>
      <w:r w:rsidRPr="52191EA1">
        <w:rPr>
          <w:b/>
          <w:bCs/>
        </w:rPr>
        <w:t>Pieteikšanās kārtība un nosacījumi:</w:t>
      </w:r>
    </w:p>
    <w:p w:rsidR="295F294E" w:rsidP="1F3CB19E" w:rsidRDefault="2D13BE99" w14:paraId="68DF4366" w14:textId="23AC922C">
      <w:r>
        <w:t>Potenciālie dalībnieki piesakās, aizpildot tiešsaistes anketu. Papildus jāpievieno papildus materiāli par uzņēmumu - Onepager un Pitchdeck</w:t>
      </w:r>
    </w:p>
    <w:p w:rsidR="30C4CCA0" w:rsidP="52191EA1" w:rsidRDefault="295F294E" w14:paraId="2CCF6149" w14:textId="4B2A8ADA">
      <w:pPr>
        <w:spacing w:after="0"/>
      </w:pPr>
      <w:r w:rsidR="2AC6D9CA">
        <w:rPr/>
        <w:t xml:space="preserve">Atbalsts </w:t>
      </w:r>
      <w:r w:rsidR="1C47FD68">
        <w:rPr/>
        <w:t>i</w:t>
      </w:r>
      <w:r w:rsidR="352DDC04">
        <w:rPr/>
        <w:t>nvestīcju</w:t>
      </w:r>
      <w:r w:rsidR="1C47FD68">
        <w:rPr/>
        <w:t xml:space="preserve"> </w:t>
      </w:r>
      <w:r w:rsidR="1C47FD68">
        <w:rPr/>
        <w:t>piesaisates</w:t>
      </w:r>
      <w:r w:rsidR="1C47FD68">
        <w:rPr/>
        <w:t xml:space="preserve"> </w:t>
      </w:r>
      <w:r w:rsidR="19D673AA">
        <w:rPr/>
        <w:t xml:space="preserve"> </w:t>
      </w:r>
      <w:r w:rsidR="19D673AA">
        <w:rPr/>
        <w:t>delegāciaj</w:t>
      </w:r>
      <w:r w:rsidR="19D673AA">
        <w:rPr/>
        <w:t xml:space="preserve"> iekļautajiem </w:t>
      </w:r>
      <w:r w:rsidR="2AC6D9CA">
        <w:rPr/>
        <w:t>jaunuzņēmumiem</w:t>
      </w:r>
      <w:r w:rsidR="2AC6D9CA">
        <w:rPr/>
        <w:t>:</w:t>
      </w:r>
      <w:r w:rsidR="2AC6D9CA">
        <w:rPr/>
        <w:t xml:space="preserve">  </w:t>
      </w:r>
    </w:p>
    <w:p w:rsidR="295F294E" w:rsidP="52191EA1" w:rsidRDefault="295F294E" w14:paraId="01FD27D1" w14:textId="71FBF832">
      <w:pPr>
        <w:spacing w:after="0"/>
      </w:pPr>
      <w:r>
        <w:t xml:space="preserve">1. </w:t>
      </w:r>
      <w:r w:rsidR="4BC23834">
        <w:t>B</w:t>
      </w:r>
      <w:r>
        <w:t xml:space="preserve">iļetes, avio, viesnīca (pēc pieejamības); </w:t>
      </w:r>
    </w:p>
    <w:p w:rsidR="295F294E" w:rsidP="52191EA1" w:rsidRDefault="295F294E" w14:paraId="2929261A" w14:textId="5425587D">
      <w:pPr>
        <w:spacing w:after="0"/>
      </w:pPr>
      <w:r>
        <w:t>2.</w:t>
      </w:r>
      <w:r w:rsidR="34C29C34">
        <w:t xml:space="preserve"> </w:t>
      </w:r>
      <w:r w:rsidR="1ECE1230">
        <w:t>I</w:t>
      </w:r>
      <w:r>
        <w:t xml:space="preserve">elūgums uz side-event, kurā paredzēta Latvijas delegācijas dalība; </w:t>
      </w:r>
    </w:p>
    <w:p w:rsidR="295F294E" w:rsidP="52191EA1" w:rsidRDefault="295F294E" w14:paraId="2F6F1BB5" w14:textId="375F3E7B">
      <w:pPr>
        <w:spacing w:after="0"/>
      </w:pPr>
      <w:r>
        <w:t xml:space="preserve">3. </w:t>
      </w:r>
      <w:r w:rsidR="2E36AA40">
        <w:t>I</w:t>
      </w:r>
      <w:r>
        <w:t>eejas biļete Hello Tomorrow Investor Day 10. jūnijā (iekļauj arī pamatkonferences apmeklējumu).</w:t>
      </w:r>
    </w:p>
    <w:p w:rsidR="52191EA1" w:rsidP="52191EA1" w:rsidRDefault="52191EA1" w14:paraId="79C92507" w14:textId="7AE89B18">
      <w:pPr>
        <w:spacing w:after="0"/>
      </w:pPr>
    </w:p>
    <w:p w:rsidR="295F294E" w:rsidRDefault="295F294E" w14:paraId="16C02C77" w14:textId="21D243F1">
      <w:r>
        <w:t>Dalībnieku apņemšanās: dalība pasākumos ar Latvijas delegācijas piedalīšanos, aktīva dalība delegācijā, aicinot investorus no sava kontaktu loka uz pasākumiem, aktīva dalība, popularizējot šos pasākumus un delegāciju, pēc pasākuma atskats sev ērtā formātā (Linkedin, blogs, mājas lapa).</w:t>
      </w:r>
    </w:p>
    <w:p w:rsidR="30D87467" w:rsidP="52191EA1" w:rsidRDefault="30D87467" w14:paraId="594932CF" w14:textId="0D833B99">
      <w:pPr>
        <w:rPr>
          <w:b/>
          <w:bCs/>
        </w:rPr>
      </w:pPr>
      <w:r w:rsidRPr="52191EA1">
        <w:rPr>
          <w:b/>
          <w:bCs/>
        </w:rPr>
        <w:t>Atlases kritēriji:</w:t>
      </w:r>
    </w:p>
    <w:tbl>
      <w:tblPr>
        <w:tblStyle w:val="TableGrid"/>
        <w:tblW w:w="8296" w:type="dxa"/>
        <w:tblLayout w:type="fixed"/>
        <w:tblLook w:val="04A0" w:firstRow="1" w:lastRow="0" w:firstColumn="1" w:lastColumn="0" w:noHBand="0" w:noVBand="1"/>
      </w:tblPr>
      <w:tblGrid>
        <w:gridCol w:w="2100"/>
        <w:gridCol w:w="2640"/>
        <w:gridCol w:w="3556"/>
      </w:tblGrid>
      <w:tr w:rsidR="00F64B12" w:rsidTr="52191EA1" w14:paraId="64060EF7" w14:textId="77777777">
        <w:tc>
          <w:tcPr>
            <w:tcW w:w="2100" w:type="dxa"/>
          </w:tcPr>
          <w:p w:rsidR="00F64B12" w:rsidP="00BF68BB" w:rsidRDefault="00F64B12" w14:paraId="77A85EAF" w14:textId="77777777">
            <w:r>
              <w:t>Kritērijs</w:t>
            </w:r>
          </w:p>
        </w:tc>
        <w:tc>
          <w:tcPr>
            <w:tcW w:w="2640" w:type="dxa"/>
          </w:tcPr>
          <w:p w:rsidR="00F64B12" w:rsidP="00BF68BB" w:rsidRDefault="00F64B12" w14:paraId="1145561D" w14:textId="77777777">
            <w:r>
              <w:t>Komentārs</w:t>
            </w:r>
          </w:p>
        </w:tc>
        <w:tc>
          <w:tcPr>
            <w:tcW w:w="3556" w:type="dxa"/>
          </w:tcPr>
          <w:p w:rsidR="00F64B12" w:rsidP="00BF68BB" w:rsidRDefault="00F64B12" w14:paraId="2C0557CD" w14:textId="77777777">
            <w:r>
              <w:t>Vērtējums</w:t>
            </w:r>
          </w:p>
        </w:tc>
      </w:tr>
      <w:tr w:rsidR="00F64B12" w:rsidTr="52191EA1" w14:paraId="643F870C" w14:textId="77777777">
        <w:tc>
          <w:tcPr>
            <w:tcW w:w="2100" w:type="dxa"/>
          </w:tcPr>
          <w:p w:rsidR="00F64B12" w:rsidP="00BF68BB" w:rsidRDefault="00F64B12" w14:paraId="5778FC1C" w14:textId="77777777">
            <w:r>
              <w:t>Jaunuzņēmums šobrīd atrodas aktīvā investīciju piesaistes fāzē</w:t>
            </w:r>
          </w:p>
        </w:tc>
        <w:tc>
          <w:tcPr>
            <w:tcW w:w="2640" w:type="dxa"/>
          </w:tcPr>
          <w:p w:rsidR="00F64B12" w:rsidP="00BF68BB" w:rsidRDefault="00F64B12" w14:paraId="576CAAF7" w14:textId="2C499A30">
            <w:r>
              <w:t xml:space="preserve">Pieteikumā jānorāda, cik </w:t>
            </w:r>
            <w:r w:rsidR="7F52EC25">
              <w:t>lielu finansējumu plānots</w:t>
            </w:r>
            <w:r>
              <w:t xml:space="preserve"> piesaistīt </w:t>
            </w:r>
            <w:r w:rsidR="7F52EC25">
              <w:t>un</w:t>
            </w:r>
            <w:r>
              <w:t xml:space="preserve"> kāda tipa </w:t>
            </w:r>
            <w:r w:rsidR="7F52EC25">
              <w:t>investori tiek meklēti</w:t>
            </w:r>
          </w:p>
        </w:tc>
        <w:tc>
          <w:tcPr>
            <w:tcW w:w="3556" w:type="dxa"/>
          </w:tcPr>
          <w:p w:rsidR="00F64B12" w:rsidP="00D703F0" w:rsidRDefault="00F64B12" w14:paraId="1B25C492" w14:textId="6C1DA863">
            <w:pPr>
              <w:pStyle w:val="ListParagraph"/>
              <w:numPr>
                <w:ilvl w:val="0"/>
                <w:numId w:val="2"/>
              </w:numPr>
              <w:spacing w:line="240" w:lineRule="auto"/>
            </w:pPr>
            <w:r>
              <w:t xml:space="preserve">līdz </w:t>
            </w:r>
            <w:r w:rsidR="3119D969">
              <w:t>249</w:t>
            </w:r>
            <w:r>
              <w:t xml:space="preserve"> 999,99 EUR - </w:t>
            </w:r>
            <w:r w:rsidR="00D703F0">
              <w:t>1</w:t>
            </w:r>
            <w:r>
              <w:t xml:space="preserve"> punkt</w:t>
            </w:r>
            <w:r w:rsidR="297BD944">
              <w:t>s</w:t>
            </w:r>
            <w:r>
              <w:t>;</w:t>
            </w:r>
          </w:p>
          <w:p w:rsidR="00F64B12" w:rsidP="00FA01A0" w:rsidRDefault="00F64B12" w14:paraId="0800363F" w14:textId="528B25CE">
            <w:pPr>
              <w:pStyle w:val="ListParagraph"/>
              <w:numPr>
                <w:ilvl w:val="0"/>
                <w:numId w:val="2"/>
              </w:numPr>
              <w:spacing w:line="240" w:lineRule="auto"/>
            </w:pPr>
            <w:r>
              <w:t xml:space="preserve">no </w:t>
            </w:r>
            <w:r w:rsidR="1D6153EB">
              <w:t>250</w:t>
            </w:r>
            <w:r>
              <w:t xml:space="preserve"> 000,00 līdz </w:t>
            </w:r>
            <w:r w:rsidR="00FA01A0">
              <w:t>499</w:t>
            </w:r>
            <w:r>
              <w:t xml:space="preserve"> 999,99 EUR – </w:t>
            </w:r>
            <w:r w:rsidR="00FA01A0">
              <w:t>3</w:t>
            </w:r>
            <w:r>
              <w:t xml:space="preserve"> punkti</w:t>
            </w:r>
            <w:r w:rsidR="4C00DAE8">
              <w:t>;</w:t>
            </w:r>
          </w:p>
          <w:p w:rsidR="00F64B12" w:rsidP="00F64B12" w:rsidRDefault="00F64B12" w14:paraId="0B2DD6E5" w14:textId="2A64E716">
            <w:pPr>
              <w:pStyle w:val="ListParagraph"/>
              <w:numPr>
                <w:ilvl w:val="0"/>
                <w:numId w:val="2"/>
              </w:numPr>
              <w:spacing w:line="240" w:lineRule="auto"/>
            </w:pPr>
            <w:r>
              <w:t>no 50</w:t>
            </w:r>
            <w:r w:rsidR="55F5733C">
              <w:t>0</w:t>
            </w:r>
            <w:r>
              <w:t xml:space="preserve"> 000,00 līdz </w:t>
            </w:r>
            <w:r w:rsidR="44CEDE9E">
              <w:t>1</w:t>
            </w:r>
            <w:r w:rsidR="4496AB9B">
              <w:t xml:space="preserve"> </w:t>
            </w:r>
            <w:r w:rsidR="44CEDE9E">
              <w:t>49</w:t>
            </w:r>
            <w:r w:rsidR="3CC17DEC">
              <w:t>9</w:t>
            </w:r>
            <w:r w:rsidR="3B3CCF4B">
              <w:t xml:space="preserve"> </w:t>
            </w:r>
            <w:r w:rsidRPr="00365557">
              <w:t xml:space="preserve"> 999,99</w:t>
            </w:r>
            <w:r>
              <w:t xml:space="preserve"> EUR – </w:t>
            </w:r>
            <w:r w:rsidR="332142F3">
              <w:t>7</w:t>
            </w:r>
            <w:r>
              <w:t xml:space="preserve"> punkti</w:t>
            </w:r>
            <w:r w:rsidR="696F2570">
              <w:t>;</w:t>
            </w:r>
          </w:p>
          <w:p w:rsidR="00F64B12" w:rsidP="00F64B12" w:rsidRDefault="00F64B12" w14:paraId="7899D805" w14:textId="7D14E215">
            <w:pPr>
              <w:pStyle w:val="ListParagraph"/>
              <w:numPr>
                <w:ilvl w:val="0"/>
                <w:numId w:val="2"/>
              </w:numPr>
              <w:spacing w:line="240" w:lineRule="auto"/>
            </w:pPr>
            <w:r>
              <w:t>no 1 </w:t>
            </w:r>
            <w:r w:rsidR="0F353F48">
              <w:t>5</w:t>
            </w:r>
            <w:r>
              <w:t xml:space="preserve">00 000 līdz </w:t>
            </w:r>
            <w:r w:rsidRPr="00365557">
              <w:t>2 999 999,99</w:t>
            </w:r>
            <w:r>
              <w:t xml:space="preserve"> EUR – </w:t>
            </w:r>
            <w:r w:rsidR="00FA01A0">
              <w:t>1</w:t>
            </w:r>
            <w:r w:rsidR="5A281A69">
              <w:t>2</w:t>
            </w:r>
            <w:r>
              <w:t xml:space="preserve"> punkti</w:t>
            </w:r>
            <w:r w:rsidR="767DA644">
              <w:t>;</w:t>
            </w:r>
          </w:p>
          <w:p w:rsidR="00574B9A" w:rsidP="00574B9A" w:rsidRDefault="00574B9A" w14:paraId="6EB7C691" w14:textId="44F59DD9">
            <w:pPr>
              <w:pStyle w:val="ListParagraph"/>
              <w:numPr>
                <w:ilvl w:val="0"/>
                <w:numId w:val="2"/>
              </w:numPr>
              <w:spacing w:line="240" w:lineRule="auto"/>
            </w:pPr>
            <w:r>
              <w:t>no 3 000 000,00 EUR līdz 4</w:t>
            </w:r>
            <w:r w:rsidRPr="00365557">
              <w:t xml:space="preserve"> 999 999,99</w:t>
            </w:r>
            <w:r>
              <w:t xml:space="preserve"> EUR – </w:t>
            </w:r>
            <w:r w:rsidR="66F0A98B">
              <w:t>20</w:t>
            </w:r>
            <w:r>
              <w:t xml:space="preserve"> punkti</w:t>
            </w:r>
            <w:r w:rsidR="465BAB49">
              <w:t>;</w:t>
            </w:r>
          </w:p>
          <w:p w:rsidR="00F64B12" w:rsidP="00F64B12" w:rsidRDefault="6B7D2319" w14:paraId="410126EF" w14:textId="4A1E5E94">
            <w:pPr>
              <w:pStyle w:val="ListParagraph"/>
              <w:numPr>
                <w:ilvl w:val="0"/>
                <w:numId w:val="2"/>
              </w:numPr>
              <w:spacing w:line="240" w:lineRule="auto"/>
            </w:pPr>
            <w:r>
              <w:t>virs</w:t>
            </w:r>
            <w:r w:rsidR="00574B9A">
              <w:t xml:space="preserve"> 5 000 000 EUR </w:t>
            </w:r>
            <w:r w:rsidR="00EF0447">
              <w:t xml:space="preserve"> </w:t>
            </w:r>
            <w:r w:rsidR="00256894">
              <w:t>–</w:t>
            </w:r>
            <w:r w:rsidR="00EF0447">
              <w:t xml:space="preserve"> </w:t>
            </w:r>
            <w:r w:rsidR="7F2FD634">
              <w:t>30</w:t>
            </w:r>
            <w:r w:rsidR="00EF0447">
              <w:t xml:space="preserve"> punkti</w:t>
            </w:r>
            <w:r w:rsidR="613ADEEB">
              <w:t>;</w:t>
            </w:r>
          </w:p>
        </w:tc>
      </w:tr>
      <w:tr w:rsidR="008F791E" w:rsidTr="52191EA1" w14:paraId="52B8A37F" w14:textId="77777777">
        <w:tc>
          <w:tcPr>
            <w:tcW w:w="2100" w:type="dxa"/>
          </w:tcPr>
          <w:p w:rsidR="008F791E" w:rsidP="00BF68BB" w:rsidRDefault="008F791E" w14:paraId="24182551" w14:textId="3FA89EC0">
            <w:r>
              <w:t>Jaunuzņēmums ir saņēmis novērtējumu no Hello Tomorrow, kas ir būtisks, lai saņemtu piekļuvi Investoru dienas apmeklējumam</w:t>
            </w:r>
          </w:p>
        </w:tc>
        <w:tc>
          <w:tcPr>
            <w:tcW w:w="2640" w:type="dxa"/>
          </w:tcPr>
          <w:p w:rsidR="008F791E" w:rsidP="00BF68BB" w:rsidRDefault="008F791E" w14:paraId="4D5C4DE5" w14:textId="5F5B845B">
            <w:r>
              <w:t xml:space="preserve">Pēc </w:t>
            </w:r>
            <w:r w:rsidR="56F29E0D">
              <w:t xml:space="preserve">jaunuzņēmuma </w:t>
            </w:r>
            <w:r>
              <w:t>pieteikuma saņemšanas</w:t>
            </w:r>
            <w:r w:rsidR="56F29E0D">
              <w:t>,</w:t>
            </w:r>
            <w:r>
              <w:t xml:space="preserve"> Hello Tomorrow </w:t>
            </w:r>
            <w:r w:rsidR="56F29E0D">
              <w:t>nosūtīs sarakstu</w:t>
            </w:r>
            <w:r>
              <w:t xml:space="preserve"> ar Latvijas jaunuzņēmumiem, </w:t>
            </w:r>
            <w:r w:rsidR="56F29E0D">
              <w:t>kas šogad vai</w:t>
            </w:r>
            <w:r>
              <w:t xml:space="preserve"> iepriekš </w:t>
            </w:r>
            <w:r w:rsidR="56F29E0D">
              <w:t>jau ir novērtēti.</w:t>
            </w:r>
            <w:r>
              <w:t xml:space="preserve"> Ja kāds </w:t>
            </w:r>
            <w:r w:rsidR="56F29E0D">
              <w:t>jaunuzņēmums piesakās pirmo reizi, Hello Tomorrow izvērtēs, vai to var iekļaut Investor Day pasākumos.</w:t>
            </w:r>
          </w:p>
        </w:tc>
        <w:tc>
          <w:tcPr>
            <w:tcW w:w="3556" w:type="dxa"/>
          </w:tcPr>
          <w:p w:rsidR="008F791E" w:rsidP="006E53D1" w:rsidRDefault="008F791E" w14:paraId="085DDEAB" w14:textId="77777777">
            <w:pPr>
              <w:pStyle w:val="ListParagraph"/>
              <w:numPr>
                <w:ilvl w:val="0"/>
                <w:numId w:val="2"/>
              </w:numPr>
              <w:spacing w:line="240" w:lineRule="auto"/>
            </w:pPr>
            <w:r>
              <w:t xml:space="preserve">Pēc papildus izvērtējuma </w:t>
            </w:r>
            <w:r w:rsidR="006E53D1">
              <w:t>s</w:t>
            </w:r>
            <w:r>
              <w:t>aņemts</w:t>
            </w:r>
            <w:r w:rsidR="006E53D1">
              <w:t xml:space="preserve"> pozitīvs novērtējums par dalību investoru dienā – 1 punkts</w:t>
            </w:r>
          </w:p>
          <w:p w:rsidR="006E53D1" w:rsidP="006E53D1" w:rsidRDefault="006E53D1" w14:paraId="5C2CB3A4" w14:textId="77777777">
            <w:pPr>
              <w:pStyle w:val="ListParagraph"/>
              <w:numPr>
                <w:ilvl w:val="0"/>
                <w:numId w:val="2"/>
              </w:numPr>
              <w:spacing w:line="240" w:lineRule="auto"/>
            </w:pPr>
            <w:r>
              <w:t>Iepriekš saņemts novērtējums un uzņēmums iekļauts DeepTech pioneers statusā – 10 punkti</w:t>
            </w:r>
          </w:p>
          <w:p w:rsidR="006E53D1" w:rsidP="006E53D1" w:rsidRDefault="006E53D1" w14:paraId="6925303E" w14:textId="113968F4">
            <w:pPr>
              <w:pStyle w:val="ListParagraph"/>
              <w:numPr>
                <w:ilvl w:val="0"/>
                <w:numId w:val="2"/>
              </w:numPr>
              <w:spacing w:line="240" w:lineRule="auto"/>
            </w:pPr>
            <w:r>
              <w:t>Iepriekš saņemts novērtējums un uzņē</w:t>
            </w:r>
            <w:r>
              <w:lastRenderedPageBreak/>
              <w:t xml:space="preserve">mums iekļauts </w:t>
            </w:r>
            <w:r w:rsidR="5352AD7F">
              <w:t xml:space="preserve">2006 gada </w:t>
            </w:r>
            <w:r>
              <w:t xml:space="preserve">TOP100 </w:t>
            </w:r>
            <w:r w:rsidR="57C2E577">
              <w:t xml:space="preserve"> </w:t>
            </w:r>
            <w:r>
              <w:t>sarakstā – 20 punkti</w:t>
            </w:r>
          </w:p>
        </w:tc>
      </w:tr>
      <w:tr w:rsidR="00F64B12" w:rsidTr="52191EA1" w14:paraId="6D7771F7" w14:textId="77777777">
        <w:trPr>
          <w:trHeight w:val="420"/>
        </w:trPr>
        <w:tc>
          <w:tcPr>
            <w:tcW w:w="2100" w:type="dxa"/>
          </w:tcPr>
          <w:p w:rsidR="00F64B12" w:rsidP="00BF68BB" w:rsidRDefault="00F64B12" w14:paraId="742CCA99" w14:textId="77777777">
            <w:r>
              <w:t>Investīciju piesaistei paredzētie materiāli ir pilnībā sagatavoti</w:t>
            </w:r>
          </w:p>
        </w:tc>
        <w:tc>
          <w:tcPr>
            <w:tcW w:w="2640" w:type="dxa"/>
          </w:tcPr>
          <w:p w:rsidR="00F64B12" w:rsidP="00BF68BB" w:rsidRDefault="00F64B12" w14:paraId="7565375B" w14:textId="77777777">
            <w:r>
              <w:t>Pieteikumā obligāti jāpievieno one-pager un pitch deck!</w:t>
            </w:r>
          </w:p>
          <w:p w:rsidR="00F64B12" w:rsidP="00BF68BB" w:rsidRDefault="00F64B12" w14:paraId="47098DED" w14:textId="6A3A5E33">
            <w:r>
              <w:t xml:space="preserve">pilnīgs nozīmē – satur pilnīgu un saprotami izklāstītu informāciju par problēmu, risinājumu, risinājuma attīstības stadiju, potenciālā tirgus lielumu, komandu, konkurentiem, potenciālajiem klientiem, līdz šim piesaistītā </w:t>
            </w:r>
            <w:r>
              <w:t xml:space="preserve">un šobrīd </w:t>
            </w:r>
            <w:r w:rsidR="251792E8">
              <w:t>piesaistām</w:t>
            </w:r>
            <w:r w:rsidRPr="164334D1" w:rsidR="23E60AB6">
              <w:t>o</w:t>
            </w:r>
            <w:r>
              <w:t xml:space="preserve"> investīciju </w:t>
            </w:r>
            <w:r w:rsidR="251792E8">
              <w:t>apjom</w:t>
            </w:r>
            <w:r w:rsidRPr="164334D1" w:rsidR="07258A1A">
              <w:t>u</w:t>
            </w:r>
            <w:r>
              <w:t>.</w:t>
            </w:r>
          </w:p>
          <w:p w:rsidR="00F64B12" w:rsidP="00BF68BB" w:rsidRDefault="00F64B12" w14:paraId="54969E47" w14:textId="77777777"/>
          <w:p w:rsidR="00F64B12" w:rsidP="00BF68BB" w:rsidRDefault="00F64B12" w14:paraId="3142FA30" w14:textId="468258CF"/>
        </w:tc>
        <w:tc>
          <w:tcPr>
            <w:tcW w:w="3556" w:type="dxa"/>
          </w:tcPr>
          <w:p w:rsidR="00F64B12" w:rsidP="00F64B12" w:rsidRDefault="00F64B12" w14:paraId="7184C898" w14:textId="1D3306A8">
            <w:pPr>
              <w:pStyle w:val="ListParagraph"/>
              <w:numPr>
                <w:ilvl w:val="0"/>
                <w:numId w:val="2"/>
              </w:numPr>
              <w:spacing w:line="240" w:lineRule="auto"/>
            </w:pPr>
            <w:r>
              <w:lastRenderedPageBreak/>
              <w:t xml:space="preserve">nav </w:t>
            </w:r>
            <w:r w:rsidR="251792E8">
              <w:t>materiāl</w:t>
            </w:r>
            <w:r w:rsidR="10195287">
              <w:t>u</w:t>
            </w:r>
            <w:r>
              <w:t>: 0;</w:t>
            </w:r>
          </w:p>
          <w:p w:rsidR="353A1F0D" w:rsidP="52191EA1" w:rsidRDefault="4D70A770" w14:paraId="2A1F3D84" w14:textId="233A5873">
            <w:pPr>
              <w:pStyle w:val="ListParagraph"/>
              <w:numPr>
                <w:ilvl w:val="0"/>
                <w:numId w:val="2"/>
              </w:numPr>
              <w:spacing w:line="240" w:lineRule="auto"/>
            </w:pPr>
            <w:r>
              <w:t>Nav iesniegti visi materiāli un tajos nav skaidri aprakstīts risinājums, attīstības/gatavības stadija vai piesaistāmais/piesaistītais finansējums), tādēļ pieteikumu nav iespējams pilnvērtīgi izvērtēt – 1 punkts;</w:t>
            </w:r>
          </w:p>
          <w:p w:rsidR="00F64B12" w:rsidP="52191EA1" w:rsidRDefault="534497F2" w14:paraId="25928AF3" w14:textId="651EEB30">
            <w:pPr>
              <w:pStyle w:val="ListParagraph"/>
              <w:numPr>
                <w:ilvl w:val="0"/>
                <w:numId w:val="2"/>
              </w:numPr>
              <w:spacing w:line="240" w:lineRule="auto"/>
            </w:pPr>
            <w:r>
              <w:t>Visi nepieciešamie materiāli ir iesniegti, taču informācija ir nepilnīga, virspusēja vai neskaidri strukturēta, kas apgrūtina pieteik</w:t>
            </w:r>
            <w:r w:rsidR="5952E67A">
              <w:t>uma</w:t>
            </w:r>
            <w:r>
              <w:t xml:space="preserve"> izvērtē</w:t>
            </w:r>
            <w:r w:rsidR="535FA938">
              <w:t xml:space="preserve">šanu </w:t>
            </w:r>
            <w:r w:rsidR="1E9D50C1">
              <w:t xml:space="preserve">– 3 punkti; </w:t>
            </w:r>
          </w:p>
          <w:p w:rsidR="00F64B12" w:rsidP="001F397F" w:rsidRDefault="5E22CBA0" w14:paraId="6E592899" w14:textId="261388D7">
            <w:pPr>
              <w:pStyle w:val="ListParagraph"/>
              <w:numPr>
                <w:ilvl w:val="0"/>
                <w:numId w:val="2"/>
              </w:numPr>
              <w:spacing w:line="240" w:lineRule="auto"/>
            </w:pPr>
            <w:r>
              <w:t>P</w:t>
            </w:r>
            <w:r w:rsidR="577CFBED">
              <w:t>ilnīgi</w:t>
            </w:r>
            <w:r w:rsidR="00F64B12">
              <w:t xml:space="preserve"> sagatavoti materiāli – 5 punkti.</w:t>
            </w:r>
          </w:p>
        </w:tc>
      </w:tr>
      <w:tr w:rsidR="00F64B12" w:rsidTr="52191EA1" w14:paraId="01612398" w14:textId="77777777">
        <w:tc>
          <w:tcPr>
            <w:tcW w:w="2100" w:type="dxa"/>
          </w:tcPr>
          <w:p w:rsidR="00F64B12" w:rsidP="00BF68BB" w:rsidRDefault="00F64B12" w14:paraId="1A5BEF5E" w14:textId="77777777">
            <w:r>
              <w:lastRenderedPageBreak/>
              <w:t>Līdz šim piesaistītais finansējums</w:t>
            </w:r>
          </w:p>
        </w:tc>
        <w:tc>
          <w:tcPr>
            <w:tcW w:w="2640" w:type="dxa"/>
          </w:tcPr>
          <w:p w:rsidR="00F64B12" w:rsidP="164334D1" w:rsidRDefault="00F64B12" w14:paraId="1B252740" w14:textId="1D48E9F0">
            <w:pPr>
              <w:rPr>
                <w:highlight w:val="yellow"/>
              </w:rPr>
            </w:pPr>
            <w:r>
              <w:t xml:space="preserve">Pieteikumā jānorāda līdz šim piesaistītais finansējums (tikai monetārs, ne preces, pakalpojumi vai inventārs) un tā apjoms (tai skaitā no privātpersonām, naudas balvām un </w:t>
            </w:r>
            <w:r w:rsidR="17EA8F92">
              <w:t xml:space="preserve">jaunuzņēmumam piesaistītajiem </w:t>
            </w:r>
            <w:r>
              <w:t>grantiem</w:t>
            </w:r>
            <w:r w:rsidR="0C2E37A8">
              <w:t>*</w:t>
            </w:r>
            <w:r>
              <w:t>)</w:t>
            </w:r>
            <w:r w:rsidR="62095721">
              <w:t>.</w:t>
            </w:r>
          </w:p>
          <w:p w:rsidR="00F64B12" w:rsidP="008069E7" w:rsidRDefault="00F64B12" w14:paraId="3F92A047" w14:textId="46FFB0F5"/>
          <w:p w:rsidR="00F64B12" w:rsidP="008069E7" w:rsidRDefault="00F64B12" w14:paraId="4C12F3DE" w14:textId="5E50D9C4"/>
          <w:p w:rsidR="00F64B12" w:rsidP="00BF68BB" w:rsidRDefault="7762AA6F" w14:paraId="53FAAC82" w14:textId="177D7BE2">
            <w:r>
              <w:t>*</w:t>
            </w:r>
            <w:r w:rsidR="03235CA1">
              <w:t>skaitīt tikai jaunuzņēmumam piešķirtos grantus (ne zinātnes institūcijām vai</w:t>
            </w:r>
            <w:r w:rsidR="64C1FFBF">
              <w:t xml:space="preserve"> projektos saņemtais finan</w:t>
            </w:r>
            <w:r w:rsidR="70A60146">
              <w:t>sējums</w:t>
            </w:r>
            <w:r w:rsidR="03235CA1">
              <w:t xml:space="preserve"> ).</w:t>
            </w:r>
          </w:p>
        </w:tc>
        <w:tc>
          <w:tcPr>
            <w:tcW w:w="3556" w:type="dxa"/>
          </w:tcPr>
          <w:p w:rsidR="00F64B12" w:rsidP="00E3642D" w:rsidRDefault="00F64B12" w14:paraId="1781B5B7" w14:textId="1F41A2E0">
            <w:pPr>
              <w:pStyle w:val="ListParagraph"/>
              <w:numPr>
                <w:ilvl w:val="0"/>
                <w:numId w:val="3"/>
              </w:numPr>
              <w:spacing w:line="240" w:lineRule="auto"/>
            </w:pPr>
            <w:r>
              <w:t xml:space="preserve">no 0 līdz līdz </w:t>
            </w:r>
            <w:r w:rsidR="0859DF80">
              <w:t>49</w:t>
            </w:r>
            <w:r>
              <w:t xml:space="preserve"> 999,99 EUR – </w:t>
            </w:r>
            <w:r w:rsidR="00C470EC">
              <w:t>0</w:t>
            </w:r>
            <w:r>
              <w:t xml:space="preserve"> punkt</w:t>
            </w:r>
            <w:r w:rsidR="00C470EC">
              <w:t>i</w:t>
            </w:r>
            <w:r>
              <w:t xml:space="preserve">; </w:t>
            </w:r>
          </w:p>
          <w:p w:rsidR="00F64B12" w:rsidP="000D0565" w:rsidRDefault="00F64B12" w14:paraId="30D3DD4C" w14:textId="5C16ADC9">
            <w:pPr>
              <w:pStyle w:val="ListParagraph"/>
              <w:numPr>
                <w:ilvl w:val="0"/>
                <w:numId w:val="3"/>
              </w:numPr>
              <w:spacing w:line="240" w:lineRule="auto"/>
            </w:pPr>
            <w:r>
              <w:t xml:space="preserve">no </w:t>
            </w:r>
            <w:r w:rsidR="577CFBED">
              <w:t>5</w:t>
            </w:r>
            <w:r w:rsidR="5F3EE17D">
              <w:t>0</w:t>
            </w:r>
            <w:r>
              <w:t xml:space="preserve"> 000,00 līdz </w:t>
            </w:r>
            <w:r w:rsidR="577CFBED">
              <w:t>2</w:t>
            </w:r>
            <w:r w:rsidR="63938ECB">
              <w:t>49</w:t>
            </w:r>
            <w:r>
              <w:t xml:space="preserve"> 999,99 EUR - </w:t>
            </w:r>
            <w:r w:rsidR="0318C6E6">
              <w:t>1</w:t>
            </w:r>
            <w:r>
              <w:t xml:space="preserve"> punkti; </w:t>
            </w:r>
          </w:p>
          <w:p w:rsidRPr="008A0D47" w:rsidR="00F64B12" w:rsidP="00F64B12" w:rsidRDefault="00F64B12" w14:paraId="4ADD749D" w14:textId="2E8D22FC">
            <w:pPr>
              <w:pStyle w:val="ListParagraph"/>
              <w:numPr>
                <w:ilvl w:val="0"/>
                <w:numId w:val="3"/>
              </w:numPr>
              <w:spacing w:line="240" w:lineRule="auto"/>
            </w:pPr>
            <w:r>
              <w:t xml:space="preserve">no </w:t>
            </w:r>
            <w:r w:rsidR="577CFBED">
              <w:t>25</w:t>
            </w:r>
            <w:r w:rsidR="4B3E6BD1">
              <w:t>0</w:t>
            </w:r>
            <w:r>
              <w:t xml:space="preserve"> 000,00 </w:t>
            </w:r>
            <w:r w:rsidR="604E6341">
              <w:t xml:space="preserve">EUR </w:t>
            </w:r>
            <w:r>
              <w:t xml:space="preserve">līdz </w:t>
            </w:r>
            <w:r w:rsidR="06D10627">
              <w:t>499</w:t>
            </w:r>
            <w:r w:rsidRPr="002A5127">
              <w:t xml:space="preserve"> 999,99 </w:t>
            </w:r>
            <w:r>
              <w:t xml:space="preserve">EUR </w:t>
            </w:r>
            <w:r w:rsidRPr="002A5127">
              <w:t xml:space="preserve">– </w:t>
            </w:r>
            <w:r w:rsidR="5A470B27">
              <w:t>4</w:t>
            </w:r>
            <w:r w:rsidRPr="002A5127">
              <w:t xml:space="preserve"> punkti</w:t>
            </w:r>
          </w:p>
          <w:p w:rsidR="00F64B12" w:rsidP="00F64B12" w:rsidRDefault="00F64B12" w14:paraId="2CCF9A3B" w14:textId="20BF1407">
            <w:pPr>
              <w:pStyle w:val="ListParagraph"/>
              <w:numPr>
                <w:ilvl w:val="0"/>
                <w:numId w:val="3"/>
              </w:numPr>
              <w:spacing w:line="240" w:lineRule="auto"/>
            </w:pPr>
            <w:r w:rsidRPr="002A5127">
              <w:t xml:space="preserve">no </w:t>
            </w:r>
            <w:r w:rsidR="577CFBED">
              <w:t>50</w:t>
            </w:r>
            <w:r w:rsidR="7A8785A6">
              <w:t>0</w:t>
            </w:r>
            <w:r w:rsidRPr="002A5127">
              <w:t xml:space="preserve"> 000</w:t>
            </w:r>
            <w:r w:rsidR="409EF27E">
              <w:t>,00 EUR</w:t>
            </w:r>
            <w:r w:rsidR="577CFBED">
              <w:t xml:space="preserve"> </w:t>
            </w:r>
            <w:r w:rsidRPr="002A5127">
              <w:t xml:space="preserve">līdz 999 999,99 </w:t>
            </w:r>
            <w:r>
              <w:t xml:space="preserve">EUR </w:t>
            </w:r>
            <w:r w:rsidRPr="002A5127">
              <w:t xml:space="preserve">– </w:t>
            </w:r>
            <w:r w:rsidR="003719EB">
              <w:t>8</w:t>
            </w:r>
            <w:r w:rsidRPr="002A5127">
              <w:t xml:space="preserve"> punkti</w:t>
            </w:r>
          </w:p>
          <w:p w:rsidR="00F64B12" w:rsidP="00F64B12" w:rsidRDefault="00F64B12" w14:paraId="6D09952E" w14:textId="69AA6F8A">
            <w:pPr>
              <w:pStyle w:val="ListParagraph"/>
              <w:numPr>
                <w:ilvl w:val="0"/>
                <w:numId w:val="3"/>
              </w:numPr>
              <w:spacing w:line="240" w:lineRule="auto"/>
            </w:pPr>
            <w:r>
              <w:t xml:space="preserve">no </w:t>
            </w:r>
            <w:r w:rsidRPr="002A5127">
              <w:t xml:space="preserve">1 000 000 </w:t>
            </w:r>
            <w:r>
              <w:t xml:space="preserve">EUR  </w:t>
            </w:r>
            <w:r w:rsidR="008F791E">
              <w:t xml:space="preserve">līdz 2 999 999,99 EUR </w:t>
            </w:r>
            <w:r>
              <w:t xml:space="preserve">–  </w:t>
            </w:r>
            <w:r w:rsidR="008F791E">
              <w:t>1</w:t>
            </w:r>
            <w:r w:rsidR="003719EB">
              <w:t>2</w:t>
            </w:r>
            <w:r w:rsidR="008F791E">
              <w:t xml:space="preserve"> </w:t>
            </w:r>
            <w:r>
              <w:t>punkti</w:t>
            </w:r>
          </w:p>
          <w:p w:rsidR="004C0C61" w:rsidP="00F64B12" w:rsidRDefault="004C0C61" w14:paraId="47FE4E33" w14:textId="43E4B77F">
            <w:pPr>
              <w:pStyle w:val="ListParagraph"/>
              <w:numPr>
                <w:ilvl w:val="0"/>
                <w:numId w:val="3"/>
              </w:numPr>
              <w:spacing w:line="240" w:lineRule="auto"/>
            </w:pPr>
            <w:r>
              <w:t>no 3 000 000 EUR līdz 4 999 999,99 -- 20 punkti</w:t>
            </w:r>
          </w:p>
          <w:p w:rsidR="008F791E" w:rsidP="00F64B12" w:rsidRDefault="008F791E" w14:paraId="335C9231" w14:textId="7CBB4901">
            <w:pPr>
              <w:pStyle w:val="ListParagraph"/>
              <w:numPr>
                <w:ilvl w:val="0"/>
                <w:numId w:val="3"/>
              </w:numPr>
              <w:spacing w:line="240" w:lineRule="auto"/>
            </w:pPr>
            <w:r>
              <w:t>virs</w:t>
            </w:r>
            <w:r w:rsidR="004C0C61">
              <w:t xml:space="preserve"> 5 000 000 </w:t>
            </w:r>
            <w:r w:rsidR="0061090C">
              <w:t xml:space="preserve">EUR </w:t>
            </w:r>
            <w:r w:rsidR="004C0C61">
              <w:t>– 30 punkti</w:t>
            </w:r>
          </w:p>
        </w:tc>
      </w:tr>
      <w:tr w:rsidR="00F64B12" w:rsidTr="52191EA1" w14:paraId="57C55667" w14:textId="77777777">
        <w:tc>
          <w:tcPr>
            <w:tcW w:w="2100" w:type="dxa"/>
          </w:tcPr>
          <w:p w:rsidR="00F64B12" w:rsidP="00BF68BB" w:rsidRDefault="00F64B12" w14:paraId="069F1DC4" w14:textId="77777777">
            <w:r>
              <w:t>Gatavības stadija</w:t>
            </w:r>
          </w:p>
        </w:tc>
        <w:tc>
          <w:tcPr>
            <w:tcW w:w="2640" w:type="dxa"/>
          </w:tcPr>
          <w:p w:rsidR="00F64B12" w:rsidP="00BF68BB" w:rsidRDefault="00F64B12" w14:paraId="2145ADBD" w14:textId="79852216">
            <w:r>
              <w:t xml:space="preserve">Pieteikumā </w:t>
            </w:r>
            <w:r w:rsidR="006E53D1">
              <w:t>jānorāda</w:t>
            </w:r>
            <w:r>
              <w:t xml:space="preserve"> </w:t>
            </w:r>
            <w:r w:rsidR="7FA99BA4">
              <w:t>produkta/uzņēmuma gatavības līmenis</w:t>
            </w:r>
            <w:r w:rsidR="30D8EB27">
              <w:t>. TRL līmeņi norādīti indikat</w:t>
            </w:r>
            <w:r w:rsidR="003B8E7B">
              <w:t>īvi, vairāk jāņem vērā un jānorāda uzņēmuma gatavības stadija pēc būtības.</w:t>
            </w:r>
          </w:p>
        </w:tc>
        <w:tc>
          <w:tcPr>
            <w:tcW w:w="3556" w:type="dxa"/>
          </w:tcPr>
          <w:p w:rsidR="00F64B12" w:rsidP="00F64B12" w:rsidRDefault="7FA99BA4" w14:paraId="09270037" w14:textId="19247765">
            <w:pPr>
              <w:pStyle w:val="ListParagraph"/>
              <w:numPr>
                <w:ilvl w:val="0"/>
                <w:numId w:val="1"/>
              </w:numPr>
              <w:spacing w:line="240" w:lineRule="auto"/>
              <w:rPr>
                <w:lang w:val="en-US"/>
              </w:rPr>
            </w:pPr>
            <w:r w:rsidRPr="164334D1">
              <w:rPr>
                <w:lang w:val="en-US"/>
              </w:rPr>
              <w:t>Ideja un koncepts (</w:t>
            </w:r>
            <w:r w:rsidRPr="164334D1" w:rsidR="006E53D1">
              <w:rPr>
                <w:lang w:val="en-US"/>
              </w:rPr>
              <w:t>TRL 1-</w:t>
            </w:r>
            <w:r w:rsidRPr="164334D1" w:rsidR="008D6488">
              <w:rPr>
                <w:lang w:val="en-US"/>
              </w:rPr>
              <w:t>2</w:t>
            </w:r>
            <w:r w:rsidRPr="164334D1" w:rsidR="001D2151">
              <w:rPr>
                <w:lang w:val="en-US"/>
              </w:rPr>
              <w:t xml:space="preserve">) </w:t>
            </w:r>
            <w:r w:rsidRPr="164334D1" w:rsidR="00F64B12">
              <w:rPr>
                <w:lang w:val="en-US"/>
              </w:rPr>
              <w:t xml:space="preserve">-- </w:t>
            </w:r>
            <w:r w:rsidRPr="164334D1" w:rsidR="00266887">
              <w:rPr>
                <w:lang w:val="en-US"/>
              </w:rPr>
              <w:t>1</w:t>
            </w:r>
            <w:r w:rsidRPr="164334D1" w:rsidR="00F64B12">
              <w:rPr>
                <w:lang w:val="en-US"/>
              </w:rPr>
              <w:t xml:space="preserve"> punkt</w:t>
            </w:r>
            <w:r w:rsidRPr="164334D1" w:rsidR="001D2151">
              <w:rPr>
                <w:lang w:val="en-US"/>
              </w:rPr>
              <w:t>s</w:t>
            </w:r>
          </w:p>
          <w:p w:rsidR="00F64B12" w:rsidP="00F64B12" w:rsidRDefault="2C3E9C7B" w14:paraId="383FFC49" w14:textId="544BB9A0">
            <w:pPr>
              <w:pStyle w:val="ListParagraph"/>
              <w:numPr>
                <w:ilvl w:val="0"/>
                <w:numId w:val="1"/>
              </w:numPr>
              <w:spacing w:line="240" w:lineRule="auto"/>
              <w:rPr>
                <w:lang w:val="en-US"/>
              </w:rPr>
            </w:pPr>
            <w:r w:rsidRPr="52191EA1">
              <w:rPr>
                <w:lang w:val="en-US"/>
              </w:rPr>
              <w:t>Tehnoloģija p</w:t>
            </w:r>
            <w:r w:rsidRPr="52191EA1" w:rsidR="344E9FC5">
              <w:rPr>
                <w:lang w:val="en-US"/>
              </w:rPr>
              <w:t>ierādīta</w:t>
            </w:r>
            <w:r w:rsidRPr="52191EA1">
              <w:rPr>
                <w:lang w:val="en-US"/>
              </w:rPr>
              <w:t xml:space="preserve"> laboratorijā</w:t>
            </w:r>
            <w:r w:rsidRPr="52191EA1" w:rsidR="3C07D102">
              <w:rPr>
                <w:lang w:val="en-US"/>
              </w:rPr>
              <w:t xml:space="preserve"> ir iegūts </w:t>
            </w:r>
            <w:r w:rsidRPr="52191EA1" w:rsidR="76669113">
              <w:rPr>
                <w:lang w:val="en-US"/>
              </w:rPr>
              <w:t xml:space="preserve"> </w:t>
            </w:r>
            <w:r w:rsidRPr="52191EA1">
              <w:rPr>
                <w:i/>
                <w:iCs/>
                <w:lang w:val="en-US"/>
              </w:rPr>
              <w:t xml:space="preserve">proof-of-concept </w:t>
            </w:r>
            <w:r w:rsidRPr="52191EA1">
              <w:rPr>
                <w:lang w:val="en-US"/>
              </w:rPr>
              <w:t>(</w:t>
            </w:r>
            <w:r w:rsidRPr="52191EA1" w:rsidR="57C2E577">
              <w:rPr>
                <w:lang w:val="en-US"/>
              </w:rPr>
              <w:t xml:space="preserve">TRL </w:t>
            </w:r>
            <w:r w:rsidRPr="52191EA1" w:rsidR="68DC986D">
              <w:rPr>
                <w:lang w:val="en-US"/>
              </w:rPr>
              <w:t>3</w:t>
            </w:r>
            <w:r w:rsidRPr="52191EA1" w:rsidR="57C2E577">
              <w:rPr>
                <w:lang w:val="en-US"/>
              </w:rPr>
              <w:t xml:space="preserve"> </w:t>
            </w:r>
            <w:r w:rsidRPr="52191EA1" w:rsidR="577CFBED">
              <w:rPr>
                <w:lang w:val="en-US"/>
              </w:rPr>
              <w:t xml:space="preserve"> – </w:t>
            </w:r>
            <w:r w:rsidRPr="52191EA1" w:rsidR="68DC986D">
              <w:rPr>
                <w:lang w:val="en-US"/>
              </w:rPr>
              <w:t>4</w:t>
            </w:r>
            <w:r w:rsidRPr="52191EA1" w:rsidR="4F813251">
              <w:rPr>
                <w:lang w:val="en-US"/>
              </w:rPr>
              <w:t>)</w:t>
            </w:r>
            <w:r w:rsidRPr="52191EA1" w:rsidR="68DC986D">
              <w:rPr>
                <w:lang w:val="en-US"/>
              </w:rPr>
              <w:t xml:space="preserve"> </w:t>
            </w:r>
            <w:r w:rsidRPr="52191EA1" w:rsidR="0B02DDCE">
              <w:rPr>
                <w:lang w:val="en-US"/>
              </w:rPr>
              <w:t xml:space="preserve"> -- </w:t>
            </w:r>
            <w:r w:rsidRPr="52191EA1" w:rsidR="577CFBED">
              <w:rPr>
                <w:lang w:val="en-US"/>
              </w:rPr>
              <w:t xml:space="preserve"> </w:t>
            </w:r>
            <w:r w:rsidRPr="52191EA1" w:rsidR="7A91C4E9">
              <w:rPr>
                <w:lang w:val="en-US"/>
              </w:rPr>
              <w:t xml:space="preserve">3 </w:t>
            </w:r>
            <w:r w:rsidRPr="52191EA1" w:rsidR="577CFBED">
              <w:rPr>
                <w:lang w:val="en-US"/>
              </w:rPr>
              <w:t>punkti;</w:t>
            </w:r>
          </w:p>
          <w:p w:rsidR="006E53D1" w:rsidP="164334D1" w:rsidRDefault="4E04369E" w14:paraId="00CDFC05" w14:textId="17FB4811">
            <w:pPr>
              <w:pStyle w:val="ListParagraph"/>
              <w:numPr>
                <w:ilvl w:val="0"/>
                <w:numId w:val="1"/>
              </w:numPr>
              <w:spacing w:line="240" w:lineRule="auto"/>
              <w:rPr>
                <w:lang w:val="en-US"/>
              </w:rPr>
            </w:pPr>
            <w:r w:rsidRPr="164334D1">
              <w:rPr>
                <w:lang w:val="en-US"/>
              </w:rPr>
              <w:t>Tehnoloģija un prototips pierādīts</w:t>
            </w:r>
            <w:r w:rsidRPr="164334D1" w:rsidR="3033F357">
              <w:rPr>
                <w:lang w:val="en-US"/>
              </w:rPr>
              <w:t xml:space="preserve"> atbilstošā vidē (</w:t>
            </w:r>
            <w:r w:rsidRPr="164334D1" w:rsidR="006E53D1">
              <w:rPr>
                <w:lang w:val="en-US"/>
              </w:rPr>
              <w:t>TRL 5</w:t>
            </w:r>
            <w:r w:rsidRPr="164334D1" w:rsidR="1AE78B49">
              <w:rPr>
                <w:lang w:val="en-US"/>
              </w:rPr>
              <w:t xml:space="preserve"> – 6</w:t>
            </w:r>
            <w:r w:rsidRPr="164334D1" w:rsidR="006E53D1">
              <w:rPr>
                <w:lang w:val="en-US"/>
              </w:rPr>
              <w:t xml:space="preserve"> </w:t>
            </w:r>
            <w:r w:rsidRPr="164334D1" w:rsidR="3CA5404E">
              <w:rPr>
                <w:lang w:val="en-US"/>
              </w:rPr>
              <w:t>)</w:t>
            </w:r>
            <w:r w:rsidRPr="164334D1" w:rsidR="1AE78B49">
              <w:rPr>
                <w:lang w:val="en-US"/>
              </w:rPr>
              <w:t xml:space="preserve"> </w:t>
            </w:r>
            <w:r w:rsidRPr="164334D1" w:rsidR="73253EB0">
              <w:rPr>
                <w:lang w:val="en-US"/>
              </w:rPr>
              <w:t xml:space="preserve">-- </w:t>
            </w:r>
            <w:r w:rsidRPr="164334D1" w:rsidR="0023784E">
              <w:rPr>
                <w:lang w:val="en-US"/>
              </w:rPr>
              <w:t xml:space="preserve"> </w:t>
            </w:r>
            <w:r w:rsidRPr="164334D1" w:rsidR="25D083C4">
              <w:rPr>
                <w:lang w:val="en-US"/>
              </w:rPr>
              <w:t>8</w:t>
            </w:r>
            <w:r w:rsidRPr="164334D1" w:rsidR="00C52898">
              <w:rPr>
                <w:lang w:val="en-US"/>
              </w:rPr>
              <w:t xml:space="preserve"> punkti;</w:t>
            </w:r>
            <w:r w:rsidRPr="164334D1" w:rsidR="00F64B12">
              <w:rPr>
                <w:lang w:val="en-US"/>
              </w:rPr>
              <w:t xml:space="preserve"> </w:t>
            </w:r>
          </w:p>
          <w:p w:rsidR="006E53D1" w:rsidP="006E53D1" w:rsidRDefault="36631792" w14:paraId="3B91AEE9" w14:textId="5B7A8485">
            <w:pPr>
              <w:pStyle w:val="ListParagraph"/>
              <w:numPr>
                <w:ilvl w:val="0"/>
                <w:numId w:val="1"/>
              </w:numPr>
              <w:spacing w:line="240" w:lineRule="auto"/>
              <w:rPr>
                <w:lang w:val="en-US"/>
              </w:rPr>
            </w:pPr>
            <w:r w:rsidRPr="52191EA1">
              <w:rPr>
                <w:lang w:val="en-US"/>
              </w:rPr>
              <w:t>Notiek p</w:t>
            </w:r>
            <w:r w:rsidRPr="52191EA1" w:rsidR="21C0F8D3">
              <w:rPr>
                <w:lang w:val="en-US"/>
              </w:rPr>
              <w:t>ilotēšana un testēšana reālā vidē, produks tiek mērogots (</w:t>
            </w:r>
            <w:r w:rsidRPr="52191EA1" w:rsidR="57C2E577">
              <w:rPr>
                <w:lang w:val="en-US"/>
              </w:rPr>
              <w:t>TRL 7</w:t>
            </w:r>
            <w:r w:rsidRPr="52191EA1" w:rsidR="4EE19CC4">
              <w:rPr>
                <w:lang w:val="en-US"/>
              </w:rPr>
              <w:t>-8</w:t>
            </w:r>
            <w:r w:rsidRPr="52191EA1" w:rsidR="19E826D3">
              <w:rPr>
                <w:lang w:val="en-US"/>
              </w:rPr>
              <w:t>)</w:t>
            </w:r>
            <w:r w:rsidRPr="52191EA1" w:rsidR="64BEBCF9">
              <w:rPr>
                <w:lang w:val="en-US"/>
              </w:rPr>
              <w:t xml:space="preserve"> </w:t>
            </w:r>
            <w:r w:rsidRPr="52191EA1" w:rsidR="75C81A95">
              <w:rPr>
                <w:lang w:val="en-US"/>
              </w:rPr>
              <w:t>-</w:t>
            </w:r>
            <w:r w:rsidRPr="52191EA1" w:rsidR="3AEE5CE0">
              <w:rPr>
                <w:lang w:val="en-US"/>
              </w:rPr>
              <w:t xml:space="preserve">- </w:t>
            </w:r>
            <w:r w:rsidRPr="52191EA1" w:rsidR="0BA0D228">
              <w:rPr>
                <w:lang w:val="en-US"/>
              </w:rPr>
              <w:t>1</w:t>
            </w:r>
            <w:r w:rsidRPr="52191EA1" w:rsidR="52E23D23">
              <w:rPr>
                <w:lang w:val="en-US"/>
              </w:rPr>
              <w:t>5</w:t>
            </w:r>
            <w:r w:rsidRPr="52191EA1" w:rsidR="6501A0C2">
              <w:rPr>
                <w:lang w:val="en-US"/>
              </w:rPr>
              <w:t xml:space="preserve"> punkti</w:t>
            </w:r>
          </w:p>
          <w:p w:rsidR="006E53D1" w:rsidP="003C14FE" w:rsidRDefault="4DB7E362" w14:paraId="3901665B" w14:textId="7E3D9F50">
            <w:pPr>
              <w:pStyle w:val="ListParagraph"/>
              <w:numPr>
                <w:ilvl w:val="0"/>
                <w:numId w:val="1"/>
              </w:numPr>
              <w:spacing w:line="240" w:lineRule="auto"/>
              <w:rPr>
                <w:lang w:val="en-US"/>
              </w:rPr>
            </w:pPr>
            <w:r w:rsidRPr="164334D1">
              <w:rPr>
                <w:lang w:val="en-US"/>
              </w:rPr>
              <w:t>Tehnoloģijas attīstība ir pabeigta, to iespējams pielietot reālā vidē ikdienas izmantošan</w:t>
            </w:r>
            <w:r w:rsidRPr="164334D1" w:rsidR="0DB35365">
              <w:rPr>
                <w:lang w:val="en-US"/>
              </w:rPr>
              <w:t>ā, produkts ir pieejams tirgū un ir pierādīta mērogojamība (</w:t>
            </w:r>
            <w:r w:rsidRPr="164334D1" w:rsidR="006E53D1">
              <w:rPr>
                <w:lang w:val="en-US"/>
              </w:rPr>
              <w:t>TRL 9</w:t>
            </w:r>
            <w:r w:rsidRPr="164334D1" w:rsidR="04FADB71">
              <w:rPr>
                <w:lang w:val="en-US"/>
              </w:rPr>
              <w:t xml:space="preserve"> un vēlāk)</w:t>
            </w:r>
            <w:r w:rsidRPr="164334D1" w:rsidR="006E53D1">
              <w:rPr>
                <w:lang w:val="en-US"/>
              </w:rPr>
              <w:t xml:space="preserve"> </w:t>
            </w:r>
            <w:r w:rsidRPr="164334D1" w:rsidR="001F71C6">
              <w:rPr>
                <w:lang w:val="en-US"/>
              </w:rPr>
              <w:t xml:space="preserve"> -- </w:t>
            </w:r>
            <w:r w:rsidRPr="164334D1" w:rsidR="001B5CE5">
              <w:rPr>
                <w:lang w:val="en-US"/>
              </w:rPr>
              <w:t xml:space="preserve"> </w:t>
            </w:r>
            <w:r w:rsidRPr="164334D1" w:rsidR="0C154E96">
              <w:rPr>
                <w:lang w:val="en-US"/>
              </w:rPr>
              <w:t>25</w:t>
            </w:r>
            <w:r w:rsidRPr="164334D1" w:rsidR="00270DDD">
              <w:rPr>
                <w:lang w:val="en-US"/>
              </w:rPr>
              <w:t xml:space="preserve"> punkti</w:t>
            </w:r>
          </w:p>
          <w:p w:rsidR="00F64B12" w:rsidP="00BF68BB" w:rsidRDefault="006E53D1" w14:paraId="1CBB47FC" w14:textId="7152C58E">
            <w:r>
              <w:t xml:space="preserve"> </w:t>
            </w:r>
          </w:p>
        </w:tc>
      </w:tr>
      <w:tr w:rsidR="00F64B12" w:rsidTr="52191EA1" w14:paraId="5CD57904" w14:textId="77777777">
        <w:tc>
          <w:tcPr>
            <w:tcW w:w="2100" w:type="dxa"/>
          </w:tcPr>
          <w:p w:rsidR="00F64B12" w:rsidP="00BF68BB" w:rsidRDefault="00F64B12" w14:paraId="48909C50" w14:textId="77777777">
            <w:r>
              <w:t>Papildus punkti</w:t>
            </w:r>
          </w:p>
        </w:tc>
        <w:tc>
          <w:tcPr>
            <w:tcW w:w="2640" w:type="dxa"/>
          </w:tcPr>
          <w:p w:rsidR="00F64B12" w:rsidP="00BF68BB" w:rsidRDefault="00F64B12" w14:paraId="6EC97C4E" w14:textId="1EE13A59">
            <w:r>
              <w:t>Ievērojami sasniegumi</w:t>
            </w:r>
            <w:r w:rsidR="00CE264B">
              <w:t xml:space="preserve"> </w:t>
            </w:r>
            <w:r w:rsidR="7F8AF728">
              <w:t>vai sadarbības</w:t>
            </w:r>
            <w:r w:rsidR="5F4BCDDD">
              <w:t xml:space="preserve"> </w:t>
            </w:r>
            <w:r w:rsidR="42C0DCC9">
              <w:t>investīciju piesaistes kontekstā</w:t>
            </w:r>
            <w:r w:rsidR="69E5FC01">
              <w:t xml:space="preserve"> (dalīb</w:t>
            </w:r>
            <w:r w:rsidR="1CA1006C">
              <w:t>a</w:t>
            </w:r>
            <w:r w:rsidR="00CE264B">
              <w:t xml:space="preserve"> nozīmīgos konkursos, akcelerācijas programmās, </w:t>
            </w:r>
            <w:r w:rsidR="69E5FC01">
              <w:t>pilotprojekt</w:t>
            </w:r>
            <w:r w:rsidR="0C3D4881">
              <w:t>os,</w:t>
            </w:r>
            <w:r w:rsidR="00CE264B">
              <w:t xml:space="preserve"> un </w:t>
            </w:r>
            <w:r w:rsidR="3B476268">
              <w:t>sa</w:t>
            </w:r>
            <w:r w:rsidR="0497E23A">
              <w:t>s</w:t>
            </w:r>
            <w:r w:rsidR="3B476268">
              <w:t>niegumiem</w:t>
            </w:r>
            <w:r w:rsidR="00CE264B">
              <w:t xml:space="preserve"> apgūstot jaunus tirgus</w:t>
            </w:r>
            <w:r w:rsidR="70A434F6">
              <w:t>, nozīmīgas sadarbības, tai skaitā zinātniskas</w:t>
            </w:r>
            <w:r w:rsidR="00CE264B">
              <w:t>).</w:t>
            </w:r>
          </w:p>
        </w:tc>
        <w:tc>
          <w:tcPr>
            <w:tcW w:w="3556" w:type="dxa"/>
          </w:tcPr>
          <w:p w:rsidR="00F64B12" w:rsidP="00F64B12" w:rsidRDefault="00F64B12" w14:paraId="42B2B4F8" w14:textId="6CAA97DB">
            <w:pPr>
              <w:pStyle w:val="ListParagraph"/>
              <w:numPr>
                <w:ilvl w:val="0"/>
                <w:numId w:val="1"/>
              </w:numPr>
              <w:spacing w:line="240" w:lineRule="auto"/>
            </w:pPr>
            <w:r>
              <w:t>papildus punkti līdz +3 par norādītiem ievērojamiem sasniegumiem</w:t>
            </w:r>
            <w:r w:rsidR="00CE264B">
              <w:t xml:space="preserve"> atkarībā no norādītā </w:t>
            </w:r>
            <w:r w:rsidR="3B476268">
              <w:t>sa</w:t>
            </w:r>
            <w:r w:rsidRPr="1DE906D4" w:rsidR="433CC419">
              <w:t>s</w:t>
            </w:r>
            <w:r w:rsidR="3B476268">
              <w:t>nieguma</w:t>
            </w:r>
            <w:r w:rsidR="00CE264B">
              <w:t xml:space="preserve"> nozīmīguma</w:t>
            </w:r>
            <w:r w:rsidRPr="1DE906D4" w:rsidR="4EA973F8">
              <w:t xml:space="preserve"> investīciju piesaistes kontekstā</w:t>
            </w:r>
            <w:r w:rsidR="00F32680">
              <w:t>.</w:t>
            </w:r>
          </w:p>
        </w:tc>
      </w:tr>
    </w:tbl>
    <w:p w:rsidR="00F64B12" w:rsidP="00F64B12" w:rsidRDefault="00F64B12" w14:paraId="04907004" w14:textId="77777777"/>
    <w:p w:rsidRPr="00CB004A" w:rsidR="00F64B12" w:rsidP="1F3CB19E" w:rsidRDefault="00F64B12" w14:paraId="70FFBBDB" w14:textId="6D5B4548">
      <w:pPr>
        <w:rPr>
          <w:b/>
          <w:bCs/>
        </w:rPr>
      </w:pPr>
      <w:r w:rsidRPr="1F3CB19E">
        <w:rPr>
          <w:b/>
          <w:bCs/>
        </w:rPr>
        <w:t>Diskvalificējoš</w:t>
      </w:r>
      <w:r w:rsidRPr="1F3CB19E" w:rsidR="57F8FD60">
        <w:rPr>
          <w:b/>
          <w:bCs/>
        </w:rPr>
        <w:t>ie</w:t>
      </w:r>
      <w:r w:rsidRPr="1F3CB19E">
        <w:rPr>
          <w:b/>
          <w:bCs/>
        </w:rPr>
        <w:t xml:space="preserve"> kritērij</w:t>
      </w:r>
      <w:r w:rsidRPr="1F3CB19E" w:rsidR="3616E137">
        <w:rPr>
          <w:b/>
          <w:bCs/>
        </w:rPr>
        <w:t>i</w:t>
      </w:r>
      <w:r w:rsidRPr="1F3CB19E" w:rsidR="63A5B2B0">
        <w:rPr>
          <w:b/>
          <w:bCs/>
        </w:rPr>
        <w:t xml:space="preserve"> (pieteikums tiks izslēgts no tālākas izvērtēšanas)</w:t>
      </w:r>
      <w:r w:rsidRPr="1F3CB19E" w:rsidR="3616E137">
        <w:rPr>
          <w:b/>
          <w:bCs/>
        </w:rPr>
        <w:t>:</w:t>
      </w:r>
    </w:p>
    <w:p w:rsidRPr="00CB004A" w:rsidR="00F64B12" w:rsidP="00F64B12" w:rsidRDefault="1DDFFCB6" w14:paraId="427D5CB7" w14:textId="3B38325C">
      <w:r>
        <w:t>1.</w:t>
      </w:r>
      <w:r w:rsidR="00F64B12">
        <w:t xml:space="preserve"> neatrodas aktīvā investīciju piesaistes fāzē</w:t>
      </w:r>
      <w:r w:rsidR="61AE14E4">
        <w:t>;</w:t>
      </w:r>
    </w:p>
    <w:p w:rsidRPr="00CB004A" w:rsidR="00F64B12" w:rsidP="00F64B12" w:rsidRDefault="61AE14E4" w14:paraId="6129DD81" w14:textId="21691C02">
      <w:r>
        <w:t>2.</w:t>
      </w:r>
      <w:r w:rsidR="00F64B12">
        <w:t xml:space="preserve"> nav jaunuzņēmums</w:t>
      </w:r>
      <w:r w:rsidR="4799A437">
        <w:t>;</w:t>
      </w:r>
    </w:p>
    <w:p w:rsidRPr="00CB004A" w:rsidR="00F64B12" w:rsidP="00F64B12" w:rsidRDefault="4799A437" w14:paraId="3425E999" w14:textId="4DA81988">
      <w:r>
        <w:t>3.</w:t>
      </w:r>
      <w:r w:rsidR="006E53D1">
        <w:t xml:space="preserve"> papildus izvērtēšanā saņem negatīvu vērtējumu no Hello Tomorrow organizatoriem par iekļaušanu Investor Day pasākumos</w:t>
      </w:r>
    </w:p>
    <w:p w:rsidR="00F64B12" w:rsidP="02FDF3B6" w:rsidRDefault="00F64B12" w14:paraId="6AFA777A" w14:textId="1D62EBD2">
      <w:pPr>
        <w:pStyle w:val="Normal"/>
      </w:pPr>
    </w:p>
    <w:p w:rsidR="00F64B12" w:rsidP="00F64B12" w:rsidRDefault="00F64B12" w14:paraId="25C673A4" w14:textId="77777777"/>
    <w:p w:rsidR="00995FF0" w:rsidRDefault="00995FF0" w14:paraId="5B486A70" w14:textId="77777777"/>
    <w:sectPr w:rsidR="00995FF0" w:rsidSect="00F64B12">
      <w:pgSz w:w="11906" w:h="16838" w:orient="portrait"/>
      <w:pgMar w:top="1440" w:right="1800" w:bottom="1440" w:left="1800" w:header="708" w:footer="708" w:gutter="0"/>
      <w:cols w:space="708"/>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1F5125"/>
    <w:multiLevelType w:val="hybridMultilevel"/>
    <w:tmpl w:val="6390009E"/>
    <w:lvl w:ilvl="0" w:tplc="04260001">
      <w:start w:val="1"/>
      <w:numFmt w:val="bullet"/>
      <w:lvlText w:val=""/>
      <w:lvlJc w:val="left"/>
      <w:pPr>
        <w:ind w:left="720" w:hanging="360"/>
      </w:pPr>
      <w:rPr>
        <w:rFonts w:hint="default" w:ascii="Symbol" w:hAnsi="Symbol"/>
      </w:rPr>
    </w:lvl>
    <w:lvl w:ilvl="1" w:tplc="04260003" w:tentative="1">
      <w:start w:val="1"/>
      <w:numFmt w:val="bullet"/>
      <w:lvlText w:val="o"/>
      <w:lvlJc w:val="left"/>
      <w:pPr>
        <w:ind w:left="1440" w:hanging="360"/>
      </w:pPr>
      <w:rPr>
        <w:rFonts w:hint="default" w:ascii="Courier New" w:hAnsi="Courier New" w:cs="Courier New"/>
      </w:rPr>
    </w:lvl>
    <w:lvl w:ilvl="2" w:tplc="04260005" w:tentative="1">
      <w:start w:val="1"/>
      <w:numFmt w:val="bullet"/>
      <w:lvlText w:val=""/>
      <w:lvlJc w:val="left"/>
      <w:pPr>
        <w:ind w:left="2160" w:hanging="360"/>
      </w:pPr>
      <w:rPr>
        <w:rFonts w:hint="default" w:ascii="Wingdings" w:hAnsi="Wingdings"/>
      </w:rPr>
    </w:lvl>
    <w:lvl w:ilvl="3" w:tplc="04260001" w:tentative="1">
      <w:start w:val="1"/>
      <w:numFmt w:val="bullet"/>
      <w:lvlText w:val=""/>
      <w:lvlJc w:val="left"/>
      <w:pPr>
        <w:ind w:left="2880" w:hanging="360"/>
      </w:pPr>
      <w:rPr>
        <w:rFonts w:hint="default" w:ascii="Symbol" w:hAnsi="Symbol"/>
      </w:rPr>
    </w:lvl>
    <w:lvl w:ilvl="4" w:tplc="04260003" w:tentative="1">
      <w:start w:val="1"/>
      <w:numFmt w:val="bullet"/>
      <w:lvlText w:val="o"/>
      <w:lvlJc w:val="left"/>
      <w:pPr>
        <w:ind w:left="3600" w:hanging="360"/>
      </w:pPr>
      <w:rPr>
        <w:rFonts w:hint="default" w:ascii="Courier New" w:hAnsi="Courier New" w:cs="Courier New"/>
      </w:rPr>
    </w:lvl>
    <w:lvl w:ilvl="5" w:tplc="04260005" w:tentative="1">
      <w:start w:val="1"/>
      <w:numFmt w:val="bullet"/>
      <w:lvlText w:val=""/>
      <w:lvlJc w:val="left"/>
      <w:pPr>
        <w:ind w:left="4320" w:hanging="360"/>
      </w:pPr>
      <w:rPr>
        <w:rFonts w:hint="default" w:ascii="Wingdings" w:hAnsi="Wingdings"/>
      </w:rPr>
    </w:lvl>
    <w:lvl w:ilvl="6" w:tplc="04260001" w:tentative="1">
      <w:start w:val="1"/>
      <w:numFmt w:val="bullet"/>
      <w:lvlText w:val=""/>
      <w:lvlJc w:val="left"/>
      <w:pPr>
        <w:ind w:left="5040" w:hanging="360"/>
      </w:pPr>
      <w:rPr>
        <w:rFonts w:hint="default" w:ascii="Symbol" w:hAnsi="Symbol"/>
      </w:rPr>
    </w:lvl>
    <w:lvl w:ilvl="7" w:tplc="04260003" w:tentative="1">
      <w:start w:val="1"/>
      <w:numFmt w:val="bullet"/>
      <w:lvlText w:val="o"/>
      <w:lvlJc w:val="left"/>
      <w:pPr>
        <w:ind w:left="5760" w:hanging="360"/>
      </w:pPr>
      <w:rPr>
        <w:rFonts w:hint="default" w:ascii="Courier New" w:hAnsi="Courier New" w:cs="Courier New"/>
      </w:rPr>
    </w:lvl>
    <w:lvl w:ilvl="8" w:tplc="04260005" w:tentative="1">
      <w:start w:val="1"/>
      <w:numFmt w:val="bullet"/>
      <w:lvlText w:val=""/>
      <w:lvlJc w:val="left"/>
      <w:pPr>
        <w:ind w:left="6480" w:hanging="360"/>
      </w:pPr>
      <w:rPr>
        <w:rFonts w:hint="default" w:ascii="Wingdings" w:hAnsi="Wingdings"/>
      </w:rPr>
    </w:lvl>
  </w:abstractNum>
  <w:abstractNum w:abstractNumId="1" w15:restartNumberingAfterBreak="0">
    <w:nsid w:val="14844236"/>
    <w:multiLevelType w:val="hybridMultilevel"/>
    <w:tmpl w:val="C8D2977E"/>
    <w:lvl w:ilvl="0" w:tplc="04260001">
      <w:start w:val="1"/>
      <w:numFmt w:val="bullet"/>
      <w:lvlText w:val=""/>
      <w:lvlJc w:val="left"/>
      <w:pPr>
        <w:ind w:left="720" w:hanging="360"/>
      </w:pPr>
      <w:rPr>
        <w:rFonts w:hint="default" w:ascii="Symbol" w:hAnsi="Symbol"/>
      </w:rPr>
    </w:lvl>
    <w:lvl w:ilvl="1" w:tplc="04260003" w:tentative="1">
      <w:start w:val="1"/>
      <w:numFmt w:val="bullet"/>
      <w:lvlText w:val="o"/>
      <w:lvlJc w:val="left"/>
      <w:pPr>
        <w:ind w:left="1440" w:hanging="360"/>
      </w:pPr>
      <w:rPr>
        <w:rFonts w:hint="default" w:ascii="Courier New" w:hAnsi="Courier New" w:cs="Courier New"/>
      </w:rPr>
    </w:lvl>
    <w:lvl w:ilvl="2" w:tplc="04260005" w:tentative="1">
      <w:start w:val="1"/>
      <w:numFmt w:val="bullet"/>
      <w:lvlText w:val=""/>
      <w:lvlJc w:val="left"/>
      <w:pPr>
        <w:ind w:left="2160" w:hanging="360"/>
      </w:pPr>
      <w:rPr>
        <w:rFonts w:hint="default" w:ascii="Wingdings" w:hAnsi="Wingdings"/>
      </w:rPr>
    </w:lvl>
    <w:lvl w:ilvl="3" w:tplc="04260001" w:tentative="1">
      <w:start w:val="1"/>
      <w:numFmt w:val="bullet"/>
      <w:lvlText w:val=""/>
      <w:lvlJc w:val="left"/>
      <w:pPr>
        <w:ind w:left="2880" w:hanging="360"/>
      </w:pPr>
      <w:rPr>
        <w:rFonts w:hint="default" w:ascii="Symbol" w:hAnsi="Symbol"/>
      </w:rPr>
    </w:lvl>
    <w:lvl w:ilvl="4" w:tplc="04260003" w:tentative="1">
      <w:start w:val="1"/>
      <w:numFmt w:val="bullet"/>
      <w:lvlText w:val="o"/>
      <w:lvlJc w:val="left"/>
      <w:pPr>
        <w:ind w:left="3600" w:hanging="360"/>
      </w:pPr>
      <w:rPr>
        <w:rFonts w:hint="default" w:ascii="Courier New" w:hAnsi="Courier New" w:cs="Courier New"/>
      </w:rPr>
    </w:lvl>
    <w:lvl w:ilvl="5" w:tplc="04260005" w:tentative="1">
      <w:start w:val="1"/>
      <w:numFmt w:val="bullet"/>
      <w:lvlText w:val=""/>
      <w:lvlJc w:val="left"/>
      <w:pPr>
        <w:ind w:left="4320" w:hanging="360"/>
      </w:pPr>
      <w:rPr>
        <w:rFonts w:hint="default" w:ascii="Wingdings" w:hAnsi="Wingdings"/>
      </w:rPr>
    </w:lvl>
    <w:lvl w:ilvl="6" w:tplc="04260001" w:tentative="1">
      <w:start w:val="1"/>
      <w:numFmt w:val="bullet"/>
      <w:lvlText w:val=""/>
      <w:lvlJc w:val="left"/>
      <w:pPr>
        <w:ind w:left="5040" w:hanging="360"/>
      </w:pPr>
      <w:rPr>
        <w:rFonts w:hint="default" w:ascii="Symbol" w:hAnsi="Symbol"/>
      </w:rPr>
    </w:lvl>
    <w:lvl w:ilvl="7" w:tplc="04260003" w:tentative="1">
      <w:start w:val="1"/>
      <w:numFmt w:val="bullet"/>
      <w:lvlText w:val="o"/>
      <w:lvlJc w:val="left"/>
      <w:pPr>
        <w:ind w:left="5760" w:hanging="360"/>
      </w:pPr>
      <w:rPr>
        <w:rFonts w:hint="default" w:ascii="Courier New" w:hAnsi="Courier New" w:cs="Courier New"/>
      </w:rPr>
    </w:lvl>
    <w:lvl w:ilvl="8" w:tplc="04260005" w:tentative="1">
      <w:start w:val="1"/>
      <w:numFmt w:val="bullet"/>
      <w:lvlText w:val=""/>
      <w:lvlJc w:val="left"/>
      <w:pPr>
        <w:ind w:left="6480" w:hanging="360"/>
      </w:pPr>
      <w:rPr>
        <w:rFonts w:hint="default" w:ascii="Wingdings" w:hAnsi="Wingdings"/>
      </w:rPr>
    </w:lvl>
  </w:abstractNum>
  <w:abstractNum w:abstractNumId="2" w15:restartNumberingAfterBreak="0">
    <w:nsid w:val="4FEF57BB"/>
    <w:multiLevelType w:val="hybridMultilevel"/>
    <w:tmpl w:val="B0A89DFC"/>
    <w:lvl w:ilvl="0" w:tplc="04260001">
      <w:start w:val="1"/>
      <w:numFmt w:val="bullet"/>
      <w:lvlText w:val=""/>
      <w:lvlJc w:val="left"/>
      <w:pPr>
        <w:ind w:left="720" w:hanging="360"/>
      </w:pPr>
      <w:rPr>
        <w:rFonts w:hint="default" w:ascii="Symbol" w:hAnsi="Symbol"/>
      </w:rPr>
    </w:lvl>
    <w:lvl w:ilvl="1" w:tplc="04260003" w:tentative="1">
      <w:start w:val="1"/>
      <w:numFmt w:val="bullet"/>
      <w:lvlText w:val="o"/>
      <w:lvlJc w:val="left"/>
      <w:pPr>
        <w:ind w:left="1440" w:hanging="360"/>
      </w:pPr>
      <w:rPr>
        <w:rFonts w:hint="default" w:ascii="Courier New" w:hAnsi="Courier New" w:cs="Courier New"/>
      </w:rPr>
    </w:lvl>
    <w:lvl w:ilvl="2" w:tplc="04260005" w:tentative="1">
      <w:start w:val="1"/>
      <w:numFmt w:val="bullet"/>
      <w:lvlText w:val=""/>
      <w:lvlJc w:val="left"/>
      <w:pPr>
        <w:ind w:left="2160" w:hanging="360"/>
      </w:pPr>
      <w:rPr>
        <w:rFonts w:hint="default" w:ascii="Wingdings" w:hAnsi="Wingdings"/>
      </w:rPr>
    </w:lvl>
    <w:lvl w:ilvl="3" w:tplc="04260001" w:tentative="1">
      <w:start w:val="1"/>
      <w:numFmt w:val="bullet"/>
      <w:lvlText w:val=""/>
      <w:lvlJc w:val="left"/>
      <w:pPr>
        <w:ind w:left="2880" w:hanging="360"/>
      </w:pPr>
      <w:rPr>
        <w:rFonts w:hint="default" w:ascii="Symbol" w:hAnsi="Symbol"/>
      </w:rPr>
    </w:lvl>
    <w:lvl w:ilvl="4" w:tplc="04260003" w:tentative="1">
      <w:start w:val="1"/>
      <w:numFmt w:val="bullet"/>
      <w:lvlText w:val="o"/>
      <w:lvlJc w:val="left"/>
      <w:pPr>
        <w:ind w:left="3600" w:hanging="360"/>
      </w:pPr>
      <w:rPr>
        <w:rFonts w:hint="default" w:ascii="Courier New" w:hAnsi="Courier New" w:cs="Courier New"/>
      </w:rPr>
    </w:lvl>
    <w:lvl w:ilvl="5" w:tplc="04260005" w:tentative="1">
      <w:start w:val="1"/>
      <w:numFmt w:val="bullet"/>
      <w:lvlText w:val=""/>
      <w:lvlJc w:val="left"/>
      <w:pPr>
        <w:ind w:left="4320" w:hanging="360"/>
      </w:pPr>
      <w:rPr>
        <w:rFonts w:hint="default" w:ascii="Wingdings" w:hAnsi="Wingdings"/>
      </w:rPr>
    </w:lvl>
    <w:lvl w:ilvl="6" w:tplc="04260001" w:tentative="1">
      <w:start w:val="1"/>
      <w:numFmt w:val="bullet"/>
      <w:lvlText w:val=""/>
      <w:lvlJc w:val="left"/>
      <w:pPr>
        <w:ind w:left="5040" w:hanging="360"/>
      </w:pPr>
      <w:rPr>
        <w:rFonts w:hint="default" w:ascii="Symbol" w:hAnsi="Symbol"/>
      </w:rPr>
    </w:lvl>
    <w:lvl w:ilvl="7" w:tplc="04260003" w:tentative="1">
      <w:start w:val="1"/>
      <w:numFmt w:val="bullet"/>
      <w:lvlText w:val="o"/>
      <w:lvlJc w:val="left"/>
      <w:pPr>
        <w:ind w:left="5760" w:hanging="360"/>
      </w:pPr>
      <w:rPr>
        <w:rFonts w:hint="default" w:ascii="Courier New" w:hAnsi="Courier New" w:cs="Courier New"/>
      </w:rPr>
    </w:lvl>
    <w:lvl w:ilvl="8" w:tplc="04260005" w:tentative="1">
      <w:start w:val="1"/>
      <w:numFmt w:val="bullet"/>
      <w:lvlText w:val=""/>
      <w:lvlJc w:val="left"/>
      <w:pPr>
        <w:ind w:left="6480" w:hanging="360"/>
      </w:pPr>
      <w:rPr>
        <w:rFonts w:hint="default" w:ascii="Wingdings" w:hAnsi="Wingdings"/>
      </w:rPr>
    </w:lvl>
  </w:abstractNum>
  <w:num w:numId="1" w16cid:durableId="323321078">
    <w:abstractNumId w:val="2"/>
  </w:num>
  <w:num w:numId="2" w16cid:durableId="388650593">
    <w:abstractNumId w:val="1"/>
  </w:num>
  <w:num w:numId="3" w16cid:durableId="629478000">
    <w:abstractNumId w:val="0"/>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4B12"/>
    <w:rsid w:val="00016A20"/>
    <w:rsid w:val="00047448"/>
    <w:rsid w:val="000B3DD0"/>
    <w:rsid w:val="000C1C35"/>
    <w:rsid w:val="000D0565"/>
    <w:rsid w:val="000D5148"/>
    <w:rsid w:val="000D59DB"/>
    <w:rsid w:val="000D7077"/>
    <w:rsid w:val="000F3698"/>
    <w:rsid w:val="001626B6"/>
    <w:rsid w:val="00185959"/>
    <w:rsid w:val="001B5046"/>
    <w:rsid w:val="001B5CE5"/>
    <w:rsid w:val="001D2151"/>
    <w:rsid w:val="001F397F"/>
    <w:rsid w:val="001F71C6"/>
    <w:rsid w:val="00213967"/>
    <w:rsid w:val="00213F53"/>
    <w:rsid w:val="00217084"/>
    <w:rsid w:val="00227038"/>
    <w:rsid w:val="0023784E"/>
    <w:rsid w:val="00256894"/>
    <w:rsid w:val="00266887"/>
    <w:rsid w:val="00270DDD"/>
    <w:rsid w:val="00295EF8"/>
    <w:rsid w:val="0034121D"/>
    <w:rsid w:val="003719EB"/>
    <w:rsid w:val="00385F04"/>
    <w:rsid w:val="00390FA3"/>
    <w:rsid w:val="003B8E7B"/>
    <w:rsid w:val="003C14FE"/>
    <w:rsid w:val="003C678E"/>
    <w:rsid w:val="003E1EF8"/>
    <w:rsid w:val="003F31D0"/>
    <w:rsid w:val="003F38E8"/>
    <w:rsid w:val="004044FD"/>
    <w:rsid w:val="00424E65"/>
    <w:rsid w:val="00426792"/>
    <w:rsid w:val="004457C9"/>
    <w:rsid w:val="00476A4C"/>
    <w:rsid w:val="004B2786"/>
    <w:rsid w:val="004C0C61"/>
    <w:rsid w:val="004F03D9"/>
    <w:rsid w:val="005411B3"/>
    <w:rsid w:val="00570EC8"/>
    <w:rsid w:val="00574B9A"/>
    <w:rsid w:val="005B1716"/>
    <w:rsid w:val="005C5CB8"/>
    <w:rsid w:val="0061090C"/>
    <w:rsid w:val="00626DD1"/>
    <w:rsid w:val="00677B72"/>
    <w:rsid w:val="006800E5"/>
    <w:rsid w:val="00682E09"/>
    <w:rsid w:val="00695D8E"/>
    <w:rsid w:val="006A4B4D"/>
    <w:rsid w:val="006C2F41"/>
    <w:rsid w:val="006D574B"/>
    <w:rsid w:val="006E53D1"/>
    <w:rsid w:val="006E7538"/>
    <w:rsid w:val="00713EED"/>
    <w:rsid w:val="0072379C"/>
    <w:rsid w:val="00741141"/>
    <w:rsid w:val="00762CB5"/>
    <w:rsid w:val="007A15DB"/>
    <w:rsid w:val="007D025A"/>
    <w:rsid w:val="007E33D5"/>
    <w:rsid w:val="007E365A"/>
    <w:rsid w:val="008069E7"/>
    <w:rsid w:val="00811B74"/>
    <w:rsid w:val="00821CBE"/>
    <w:rsid w:val="0083737B"/>
    <w:rsid w:val="0083796D"/>
    <w:rsid w:val="00870AA4"/>
    <w:rsid w:val="008759CD"/>
    <w:rsid w:val="008B3866"/>
    <w:rsid w:val="008D6488"/>
    <w:rsid w:val="008D6C3E"/>
    <w:rsid w:val="008D710C"/>
    <w:rsid w:val="008F6482"/>
    <w:rsid w:val="008F791E"/>
    <w:rsid w:val="00906F67"/>
    <w:rsid w:val="00965102"/>
    <w:rsid w:val="0097122E"/>
    <w:rsid w:val="00991722"/>
    <w:rsid w:val="00995FF0"/>
    <w:rsid w:val="009A4F75"/>
    <w:rsid w:val="009B1FF0"/>
    <w:rsid w:val="009D648A"/>
    <w:rsid w:val="00A0725F"/>
    <w:rsid w:val="00A410EA"/>
    <w:rsid w:val="00A63546"/>
    <w:rsid w:val="00A635B4"/>
    <w:rsid w:val="00AB6416"/>
    <w:rsid w:val="00AD0EBF"/>
    <w:rsid w:val="00AD201B"/>
    <w:rsid w:val="00AF63A1"/>
    <w:rsid w:val="00B20463"/>
    <w:rsid w:val="00B308DE"/>
    <w:rsid w:val="00B60913"/>
    <w:rsid w:val="00BD3554"/>
    <w:rsid w:val="00BE2C80"/>
    <w:rsid w:val="00C136CE"/>
    <w:rsid w:val="00C14D0A"/>
    <w:rsid w:val="00C27E3A"/>
    <w:rsid w:val="00C470EC"/>
    <w:rsid w:val="00C52898"/>
    <w:rsid w:val="00C6745D"/>
    <w:rsid w:val="00C7775D"/>
    <w:rsid w:val="00C805E5"/>
    <w:rsid w:val="00CE264B"/>
    <w:rsid w:val="00CE5B5F"/>
    <w:rsid w:val="00CE6071"/>
    <w:rsid w:val="00CE7F61"/>
    <w:rsid w:val="00D1337A"/>
    <w:rsid w:val="00D20FBC"/>
    <w:rsid w:val="00D267F0"/>
    <w:rsid w:val="00D30642"/>
    <w:rsid w:val="00D43710"/>
    <w:rsid w:val="00D703F0"/>
    <w:rsid w:val="00D7299B"/>
    <w:rsid w:val="00D90BBE"/>
    <w:rsid w:val="00D96911"/>
    <w:rsid w:val="00D96A73"/>
    <w:rsid w:val="00DD1305"/>
    <w:rsid w:val="00DE285C"/>
    <w:rsid w:val="00DE332F"/>
    <w:rsid w:val="00E3642D"/>
    <w:rsid w:val="00E4044D"/>
    <w:rsid w:val="00E62FB9"/>
    <w:rsid w:val="00E66B1D"/>
    <w:rsid w:val="00E8098E"/>
    <w:rsid w:val="00EF0447"/>
    <w:rsid w:val="00F27393"/>
    <w:rsid w:val="00F32680"/>
    <w:rsid w:val="00F36E16"/>
    <w:rsid w:val="00F45302"/>
    <w:rsid w:val="00F57216"/>
    <w:rsid w:val="00F61C2B"/>
    <w:rsid w:val="00F64B12"/>
    <w:rsid w:val="00F73236"/>
    <w:rsid w:val="00F734AA"/>
    <w:rsid w:val="00F872D1"/>
    <w:rsid w:val="00FA01A0"/>
    <w:rsid w:val="02FDF3B6"/>
    <w:rsid w:val="0318C6E6"/>
    <w:rsid w:val="03235CA1"/>
    <w:rsid w:val="03BC2E89"/>
    <w:rsid w:val="03E19028"/>
    <w:rsid w:val="04811A9A"/>
    <w:rsid w:val="0497E23A"/>
    <w:rsid w:val="04FADB71"/>
    <w:rsid w:val="05CA2A25"/>
    <w:rsid w:val="066925F5"/>
    <w:rsid w:val="06D10627"/>
    <w:rsid w:val="06F68C93"/>
    <w:rsid w:val="07258A1A"/>
    <w:rsid w:val="0792ACF7"/>
    <w:rsid w:val="084B42D0"/>
    <w:rsid w:val="0859DF80"/>
    <w:rsid w:val="0B02DDCE"/>
    <w:rsid w:val="0B23A955"/>
    <w:rsid w:val="0BA0D228"/>
    <w:rsid w:val="0BFDA392"/>
    <w:rsid w:val="0C154E96"/>
    <w:rsid w:val="0C2E37A8"/>
    <w:rsid w:val="0C3D4881"/>
    <w:rsid w:val="0D8002E9"/>
    <w:rsid w:val="0DB35365"/>
    <w:rsid w:val="0EA0AD30"/>
    <w:rsid w:val="0EAE411C"/>
    <w:rsid w:val="0EDC9F4E"/>
    <w:rsid w:val="0F353F48"/>
    <w:rsid w:val="0F4FB17F"/>
    <w:rsid w:val="0F8D4F6B"/>
    <w:rsid w:val="10195287"/>
    <w:rsid w:val="10B6A43C"/>
    <w:rsid w:val="10C661AB"/>
    <w:rsid w:val="115402E9"/>
    <w:rsid w:val="11DC817A"/>
    <w:rsid w:val="11F9D375"/>
    <w:rsid w:val="122AB797"/>
    <w:rsid w:val="13B00C98"/>
    <w:rsid w:val="140259B7"/>
    <w:rsid w:val="14145AE7"/>
    <w:rsid w:val="1441A85D"/>
    <w:rsid w:val="158E5A6E"/>
    <w:rsid w:val="164334D1"/>
    <w:rsid w:val="173F6B62"/>
    <w:rsid w:val="17EA8F92"/>
    <w:rsid w:val="1980124A"/>
    <w:rsid w:val="19BFD5E1"/>
    <w:rsid w:val="19D673AA"/>
    <w:rsid w:val="19E826D3"/>
    <w:rsid w:val="1A21B010"/>
    <w:rsid w:val="1A2B6382"/>
    <w:rsid w:val="1A5488CE"/>
    <w:rsid w:val="1ACFCE5E"/>
    <w:rsid w:val="1AE78B49"/>
    <w:rsid w:val="1C286266"/>
    <w:rsid w:val="1C47FD68"/>
    <w:rsid w:val="1C886F22"/>
    <w:rsid w:val="1CA1006C"/>
    <w:rsid w:val="1CDE9648"/>
    <w:rsid w:val="1D2ABA93"/>
    <w:rsid w:val="1D6153EB"/>
    <w:rsid w:val="1DDFFCB6"/>
    <w:rsid w:val="1DE906D4"/>
    <w:rsid w:val="1E1845A4"/>
    <w:rsid w:val="1E4F60D7"/>
    <w:rsid w:val="1E613793"/>
    <w:rsid w:val="1E9D50C1"/>
    <w:rsid w:val="1ECE1230"/>
    <w:rsid w:val="1EEB16EC"/>
    <w:rsid w:val="1F3CB19E"/>
    <w:rsid w:val="21A218A5"/>
    <w:rsid w:val="21C0F8D3"/>
    <w:rsid w:val="22B62657"/>
    <w:rsid w:val="23875BD8"/>
    <w:rsid w:val="23E60AB6"/>
    <w:rsid w:val="23F7F38D"/>
    <w:rsid w:val="246B3EA0"/>
    <w:rsid w:val="24D11EE3"/>
    <w:rsid w:val="250B738E"/>
    <w:rsid w:val="251792E8"/>
    <w:rsid w:val="25AE2B8E"/>
    <w:rsid w:val="25D083C4"/>
    <w:rsid w:val="26B8DE88"/>
    <w:rsid w:val="2740A761"/>
    <w:rsid w:val="27A3F5B7"/>
    <w:rsid w:val="295F294E"/>
    <w:rsid w:val="297BD944"/>
    <w:rsid w:val="29A5798D"/>
    <w:rsid w:val="29B86024"/>
    <w:rsid w:val="2A6F6258"/>
    <w:rsid w:val="2AC6D9CA"/>
    <w:rsid w:val="2BE0A5D4"/>
    <w:rsid w:val="2C3E9C7B"/>
    <w:rsid w:val="2D13BE99"/>
    <w:rsid w:val="2D8DF46C"/>
    <w:rsid w:val="2DD62D7F"/>
    <w:rsid w:val="2E1DCA32"/>
    <w:rsid w:val="2E1F7319"/>
    <w:rsid w:val="2E36AA40"/>
    <w:rsid w:val="2F0D59FE"/>
    <w:rsid w:val="2F12B138"/>
    <w:rsid w:val="3033F357"/>
    <w:rsid w:val="303402A5"/>
    <w:rsid w:val="30C4CCA0"/>
    <w:rsid w:val="30D87467"/>
    <w:rsid w:val="30D8EB27"/>
    <w:rsid w:val="3119D969"/>
    <w:rsid w:val="31B9666C"/>
    <w:rsid w:val="3223C99D"/>
    <w:rsid w:val="332142F3"/>
    <w:rsid w:val="33BA9DA2"/>
    <w:rsid w:val="344E9FC5"/>
    <w:rsid w:val="34ADE76D"/>
    <w:rsid w:val="34C29C34"/>
    <w:rsid w:val="352DDC04"/>
    <w:rsid w:val="353A1F0D"/>
    <w:rsid w:val="354221A2"/>
    <w:rsid w:val="3616E137"/>
    <w:rsid w:val="365C941C"/>
    <w:rsid w:val="36631792"/>
    <w:rsid w:val="3688A5D6"/>
    <w:rsid w:val="383D9DE1"/>
    <w:rsid w:val="3949576D"/>
    <w:rsid w:val="39A26957"/>
    <w:rsid w:val="39E59D90"/>
    <w:rsid w:val="3A025C38"/>
    <w:rsid w:val="3AEE5CE0"/>
    <w:rsid w:val="3B3CCF4B"/>
    <w:rsid w:val="3B476268"/>
    <w:rsid w:val="3C07D102"/>
    <w:rsid w:val="3C99F169"/>
    <w:rsid w:val="3CA5404E"/>
    <w:rsid w:val="3CB5F78E"/>
    <w:rsid w:val="3CC17DEC"/>
    <w:rsid w:val="3D504D3B"/>
    <w:rsid w:val="3F71BFFE"/>
    <w:rsid w:val="3F8CA379"/>
    <w:rsid w:val="409EF27E"/>
    <w:rsid w:val="414C1257"/>
    <w:rsid w:val="41A7C3C7"/>
    <w:rsid w:val="424123E1"/>
    <w:rsid w:val="4284645D"/>
    <w:rsid w:val="42C0DCC9"/>
    <w:rsid w:val="433CC419"/>
    <w:rsid w:val="4476ECF6"/>
    <w:rsid w:val="4496AB9B"/>
    <w:rsid w:val="44CEDE9E"/>
    <w:rsid w:val="45D34BBA"/>
    <w:rsid w:val="465BAB49"/>
    <w:rsid w:val="47351238"/>
    <w:rsid w:val="4799A437"/>
    <w:rsid w:val="47C5483B"/>
    <w:rsid w:val="4AA2E577"/>
    <w:rsid w:val="4B3E6BD1"/>
    <w:rsid w:val="4BC23834"/>
    <w:rsid w:val="4C00DAE8"/>
    <w:rsid w:val="4CB150B1"/>
    <w:rsid w:val="4D70A770"/>
    <w:rsid w:val="4DB7E362"/>
    <w:rsid w:val="4DE8AE3D"/>
    <w:rsid w:val="4E04369E"/>
    <w:rsid w:val="4E71D025"/>
    <w:rsid w:val="4EA973F8"/>
    <w:rsid w:val="4EE19CC4"/>
    <w:rsid w:val="4F813251"/>
    <w:rsid w:val="4F8DEDE4"/>
    <w:rsid w:val="4FED05BF"/>
    <w:rsid w:val="502C70E7"/>
    <w:rsid w:val="5083D05D"/>
    <w:rsid w:val="5135E49F"/>
    <w:rsid w:val="5154B008"/>
    <w:rsid w:val="51B65DB4"/>
    <w:rsid w:val="52191EA1"/>
    <w:rsid w:val="527F55F3"/>
    <w:rsid w:val="52BF4152"/>
    <w:rsid w:val="52E23D23"/>
    <w:rsid w:val="534497F2"/>
    <w:rsid w:val="5352AD7F"/>
    <w:rsid w:val="535FA938"/>
    <w:rsid w:val="545BC8A1"/>
    <w:rsid w:val="5544A46D"/>
    <w:rsid w:val="55A5F801"/>
    <w:rsid w:val="55B5330F"/>
    <w:rsid w:val="55F5733C"/>
    <w:rsid w:val="56F29E0D"/>
    <w:rsid w:val="572969F7"/>
    <w:rsid w:val="577CFBED"/>
    <w:rsid w:val="57C2E577"/>
    <w:rsid w:val="57F8FD60"/>
    <w:rsid w:val="5952E67A"/>
    <w:rsid w:val="5A17582B"/>
    <w:rsid w:val="5A281A69"/>
    <w:rsid w:val="5A470B27"/>
    <w:rsid w:val="5B2DB40E"/>
    <w:rsid w:val="5B6D29A2"/>
    <w:rsid w:val="5BDBF9AE"/>
    <w:rsid w:val="5C4EA0D6"/>
    <w:rsid w:val="5DA4C4FF"/>
    <w:rsid w:val="5DCEB450"/>
    <w:rsid w:val="5E22CBA0"/>
    <w:rsid w:val="5F3CC138"/>
    <w:rsid w:val="5F3EE17D"/>
    <w:rsid w:val="5F4BCDDD"/>
    <w:rsid w:val="5F87E56B"/>
    <w:rsid w:val="5FE599AE"/>
    <w:rsid w:val="604E6341"/>
    <w:rsid w:val="60767AC4"/>
    <w:rsid w:val="60BEBF4A"/>
    <w:rsid w:val="613ADEEB"/>
    <w:rsid w:val="61AE14E4"/>
    <w:rsid w:val="62095721"/>
    <w:rsid w:val="62C0AC5E"/>
    <w:rsid w:val="62EB1BFB"/>
    <w:rsid w:val="630E8366"/>
    <w:rsid w:val="6344E743"/>
    <w:rsid w:val="63938ECB"/>
    <w:rsid w:val="63A5B2B0"/>
    <w:rsid w:val="64BEBCF9"/>
    <w:rsid w:val="64C1FFBF"/>
    <w:rsid w:val="6501A0C2"/>
    <w:rsid w:val="65B55F4F"/>
    <w:rsid w:val="66E8EFF6"/>
    <w:rsid w:val="66F0A98B"/>
    <w:rsid w:val="671259FF"/>
    <w:rsid w:val="6765E879"/>
    <w:rsid w:val="677888CA"/>
    <w:rsid w:val="68550F55"/>
    <w:rsid w:val="68B39A3C"/>
    <w:rsid w:val="68DC986D"/>
    <w:rsid w:val="696F2570"/>
    <w:rsid w:val="69C2970C"/>
    <w:rsid w:val="69E5FC01"/>
    <w:rsid w:val="6AA5E0B6"/>
    <w:rsid w:val="6B7D2319"/>
    <w:rsid w:val="6CA724C5"/>
    <w:rsid w:val="6D48FF0F"/>
    <w:rsid w:val="6E0235F5"/>
    <w:rsid w:val="6E2DF797"/>
    <w:rsid w:val="6FFA2617"/>
    <w:rsid w:val="703EA8CA"/>
    <w:rsid w:val="70A434F6"/>
    <w:rsid w:val="70A60146"/>
    <w:rsid w:val="70B5A180"/>
    <w:rsid w:val="70D36251"/>
    <w:rsid w:val="715FAA3F"/>
    <w:rsid w:val="71799FC3"/>
    <w:rsid w:val="71A259DC"/>
    <w:rsid w:val="71B18DFF"/>
    <w:rsid w:val="72C1BE76"/>
    <w:rsid w:val="7321F680"/>
    <w:rsid w:val="73253EB0"/>
    <w:rsid w:val="73820022"/>
    <w:rsid w:val="740FC916"/>
    <w:rsid w:val="743E62CC"/>
    <w:rsid w:val="7449CD3A"/>
    <w:rsid w:val="75031E28"/>
    <w:rsid w:val="750F0E36"/>
    <w:rsid w:val="75C81A95"/>
    <w:rsid w:val="76669113"/>
    <w:rsid w:val="767DA644"/>
    <w:rsid w:val="772B389D"/>
    <w:rsid w:val="7756E5BA"/>
    <w:rsid w:val="7762AA6F"/>
    <w:rsid w:val="77A14E5B"/>
    <w:rsid w:val="79490489"/>
    <w:rsid w:val="7A48315F"/>
    <w:rsid w:val="7A8785A6"/>
    <w:rsid w:val="7A91C4E9"/>
    <w:rsid w:val="7B0238AE"/>
    <w:rsid w:val="7B1560BF"/>
    <w:rsid w:val="7B277B48"/>
    <w:rsid w:val="7DF0FA1A"/>
    <w:rsid w:val="7F2FD634"/>
    <w:rsid w:val="7F52EC25"/>
    <w:rsid w:val="7F8AF728"/>
    <w:rsid w:val="7FA99BA4"/>
  </w:rsids>
  <m:mathPr>
    <m:mathFont m:val="Cambria Math"/>
    <m:brkBin m:val="before"/>
    <m:brkBinSub m:val="--"/>
    <m:smallFrac m:val="0"/>
    <m:dispDef/>
    <m:lMargin m:val="0"/>
    <m:rMargin m:val="0"/>
    <m:defJc m:val="centerGroup"/>
    <m:wrapIndent m:val="1440"/>
    <m:intLim m:val="subSup"/>
    <m:naryLim m:val="undOvr"/>
  </m:mathPr>
  <w:themeFontLang w:val="en-LV"/>
  <w:clrSchemeMapping w:bg1="light1" w:t1="dark1" w:bg2="light2" w:t2="dark2" w:accent1="accent1" w:accent2="accent2" w:accent3="accent3" w:accent4="accent4" w:accent5="accent5" w:accent6="accent6" w:hyperlink="hyperlink" w:followedHyperlink="followedHyperlink"/>
  <w:decimalSymbol w:val=","/>
  <w:listSeparator w:val=","/>
  <w14:docId w14:val="407E222F"/>
  <w15:chartTrackingRefBased/>
  <w15:docId w15:val="{0B811125-7049-CE44-BDDB-E7669C571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F64B12"/>
    <w:pPr>
      <w:spacing w:line="259" w:lineRule="auto"/>
    </w:pPr>
    <w:rPr>
      <w:sz w:val="22"/>
      <w:szCs w:val="22"/>
      <w:lang w:val="lv-LV"/>
    </w:rPr>
  </w:style>
  <w:style w:type="paragraph" w:styleId="Heading1">
    <w:name w:val="heading 1"/>
    <w:basedOn w:val="Normal"/>
    <w:next w:val="Normal"/>
    <w:link w:val="Heading1Char"/>
    <w:uiPriority w:val="9"/>
    <w:qFormat/>
    <w:rsid w:val="00F64B12"/>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64B12"/>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64B1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64B1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64B1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64B1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64B1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64B1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64B12"/>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F64B12"/>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F64B12"/>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F64B12"/>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F64B12"/>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F64B12"/>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F64B12"/>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F64B12"/>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F64B12"/>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F64B12"/>
    <w:rPr>
      <w:rFonts w:eastAsiaTheme="majorEastAsia" w:cstheme="majorBidi"/>
      <w:color w:val="272727" w:themeColor="text1" w:themeTint="D8"/>
    </w:rPr>
  </w:style>
  <w:style w:type="paragraph" w:styleId="Title">
    <w:name w:val="Title"/>
    <w:basedOn w:val="Normal"/>
    <w:next w:val="Normal"/>
    <w:link w:val="TitleChar"/>
    <w:uiPriority w:val="10"/>
    <w:qFormat/>
    <w:rsid w:val="00F64B12"/>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F64B12"/>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F64B12"/>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F64B1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64B12"/>
    <w:pPr>
      <w:spacing w:before="160"/>
      <w:jc w:val="center"/>
    </w:pPr>
    <w:rPr>
      <w:i/>
      <w:iCs/>
      <w:color w:val="404040" w:themeColor="text1" w:themeTint="BF"/>
    </w:rPr>
  </w:style>
  <w:style w:type="character" w:styleId="QuoteChar" w:customStyle="1">
    <w:name w:val="Quote Char"/>
    <w:basedOn w:val="DefaultParagraphFont"/>
    <w:link w:val="Quote"/>
    <w:uiPriority w:val="29"/>
    <w:rsid w:val="00F64B12"/>
    <w:rPr>
      <w:i/>
      <w:iCs/>
      <w:color w:val="404040" w:themeColor="text1" w:themeTint="BF"/>
    </w:rPr>
  </w:style>
  <w:style w:type="paragraph" w:styleId="ListParagraph">
    <w:name w:val="List Paragraph"/>
    <w:basedOn w:val="Normal"/>
    <w:uiPriority w:val="34"/>
    <w:qFormat/>
    <w:rsid w:val="00F64B12"/>
    <w:pPr>
      <w:ind w:left="720"/>
      <w:contextualSpacing/>
    </w:pPr>
  </w:style>
  <w:style w:type="character" w:styleId="IntenseEmphasis">
    <w:name w:val="Intense Emphasis"/>
    <w:basedOn w:val="DefaultParagraphFont"/>
    <w:uiPriority w:val="21"/>
    <w:qFormat/>
    <w:rsid w:val="00F64B12"/>
    <w:rPr>
      <w:i/>
      <w:iCs/>
      <w:color w:val="0F4761" w:themeColor="accent1" w:themeShade="BF"/>
    </w:rPr>
  </w:style>
  <w:style w:type="paragraph" w:styleId="IntenseQuote">
    <w:name w:val="Intense Quote"/>
    <w:basedOn w:val="Normal"/>
    <w:next w:val="Normal"/>
    <w:link w:val="IntenseQuoteChar"/>
    <w:uiPriority w:val="30"/>
    <w:qFormat/>
    <w:rsid w:val="00F64B12"/>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F64B12"/>
    <w:rPr>
      <w:i/>
      <w:iCs/>
      <w:color w:val="0F4761" w:themeColor="accent1" w:themeShade="BF"/>
    </w:rPr>
  </w:style>
  <w:style w:type="character" w:styleId="IntenseReference">
    <w:name w:val="Intense Reference"/>
    <w:basedOn w:val="DefaultParagraphFont"/>
    <w:uiPriority w:val="32"/>
    <w:qFormat/>
    <w:rsid w:val="00F64B12"/>
    <w:rPr>
      <w:b/>
      <w:bCs/>
      <w:smallCaps/>
      <w:color w:val="0F4761" w:themeColor="accent1" w:themeShade="BF"/>
      <w:spacing w:val="5"/>
    </w:rPr>
  </w:style>
  <w:style w:type="table" w:styleId="TableGrid">
    <w:name w:val="Table Grid"/>
    <w:basedOn w:val="TableNormal"/>
    <w:uiPriority w:val="39"/>
    <w:rsid w:val="00F64B12"/>
    <w:pPr>
      <w:spacing w:after="0" w:line="240" w:lineRule="auto"/>
    </w:pPr>
    <w:rPr>
      <w:sz w:val="22"/>
      <w:szCs w:val="22"/>
      <w:lang w:val="lv-LV"/>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basedOn w:val="DefaultParagraphFont"/>
    <w:uiPriority w:val="99"/>
    <w:unhideWhenUsed/>
    <w:rsid w:val="0083796D"/>
    <w:rPr>
      <w:color w:val="467886" w:themeColor="hyperlink"/>
      <w:u w:val="single"/>
    </w:rPr>
  </w:style>
  <w:style w:type="character" w:styleId="UnresolvedMention">
    <w:name w:val="Unresolved Mention"/>
    <w:basedOn w:val="DefaultParagraphFont"/>
    <w:uiPriority w:val="99"/>
    <w:semiHidden/>
    <w:unhideWhenUsed/>
    <w:rsid w:val="0083796D"/>
    <w:rPr>
      <w:color w:val="605E5C"/>
      <w:shd w:val="clear" w:color="auto" w:fill="E1DFDD"/>
    </w:rPr>
  </w:style>
  <w:style w:type="paragraph" w:styleId="CommentText">
    <w:name w:val="annotation text"/>
    <w:basedOn w:val="Normal"/>
    <w:link w:val="CommentTextChar"/>
    <w:uiPriority w:val="99"/>
    <w:unhideWhenUsed/>
    <w:rsid w:val="00682E09"/>
    <w:pPr>
      <w:spacing w:line="240" w:lineRule="auto"/>
    </w:pPr>
    <w:rPr>
      <w:sz w:val="20"/>
      <w:szCs w:val="20"/>
    </w:rPr>
  </w:style>
  <w:style w:type="character" w:styleId="CommentTextChar" w:customStyle="1">
    <w:name w:val="Comment Text Char"/>
    <w:basedOn w:val="DefaultParagraphFont"/>
    <w:link w:val="CommentText"/>
    <w:uiPriority w:val="99"/>
    <w:rsid w:val="00682E09"/>
    <w:rPr>
      <w:sz w:val="20"/>
      <w:szCs w:val="20"/>
      <w:lang w:val="lv-LV"/>
    </w:rPr>
  </w:style>
  <w:style w:type="character" w:styleId="CommentReference">
    <w:name w:val="annotation reference"/>
    <w:basedOn w:val="DefaultParagraphFont"/>
    <w:uiPriority w:val="99"/>
    <w:semiHidden/>
    <w:unhideWhenUsed/>
    <w:rsid w:val="00682E09"/>
    <w:rPr>
      <w:sz w:val="16"/>
      <w:szCs w:val="16"/>
    </w:rPr>
  </w:style>
  <w:style w:type="paragraph" w:styleId="CommentSubject">
    <w:name w:val="annotation subject"/>
    <w:basedOn w:val="CommentText"/>
    <w:next w:val="CommentText"/>
    <w:link w:val="CommentSubjectChar"/>
    <w:uiPriority w:val="99"/>
    <w:semiHidden/>
    <w:unhideWhenUsed/>
    <w:rsid w:val="00682E09"/>
    <w:rPr>
      <w:b/>
      <w:bCs/>
    </w:rPr>
  </w:style>
  <w:style w:type="character" w:styleId="CommentSubjectChar" w:customStyle="1">
    <w:name w:val="Comment Subject Char"/>
    <w:basedOn w:val="CommentTextChar"/>
    <w:link w:val="CommentSubject"/>
    <w:uiPriority w:val="99"/>
    <w:semiHidden/>
    <w:rsid w:val="00682E09"/>
    <w:rPr>
      <w:b/>
      <w:bCs/>
      <w:sz w:val="20"/>
      <w:szCs w:val="20"/>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16/09/relationships/commentsIds" Target="commentsIds.xml" Id="rId7" /><Relationship Type="http://schemas.openxmlformats.org/officeDocument/2006/relationships/styles" Target="styles.xml" Id="rId2" /><Relationship Type="http://schemas.openxmlformats.org/officeDocument/2006/relationships/numbering" Target="numbering.xml" Id="rId1" /><Relationship Type="http://schemas.microsoft.com/office/2011/relationships/commentsExtended" Target="commentsExtended.xml" Id="rId6" /><Relationship Type="http://schemas.openxmlformats.org/officeDocument/2006/relationships/theme" Target="theme/theme1.xml" Id="rId11" /><Relationship Type="http://schemas.microsoft.com/office/2011/relationships/people" Target="people.xml" Id="rId10" /><Relationship Type="http://schemas.openxmlformats.org/officeDocument/2006/relationships/webSettings" Target="webSettings.xml" Id="rId4" /><Relationship Type="http://schemas.openxmlformats.org/officeDocument/2006/relationships/fontTable" Target="fontTable.xml"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782bc6c2-7514-4fdc-9d30-d67e678af931}" enabled="0" method="" siteId="{782bc6c2-7514-4fdc-9d30-d67e678af931}" removed="1"/>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Ieva Felmena</dc:creator>
  <keywords/>
  <dc:description/>
  <lastModifiedBy>Ieva Felmena</lastModifiedBy>
  <revision>49</revision>
  <dcterms:created xsi:type="dcterms:W3CDTF">2026-02-04T15:06:00.0000000Z</dcterms:created>
  <dcterms:modified xsi:type="dcterms:W3CDTF">2026-02-06T12:03:29.5277992Z</dcterms:modified>
</coreProperties>
</file>